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45425" w14:textId="77777777" w:rsidR="00043101" w:rsidRPr="00B8681C" w:rsidRDefault="00043101" w:rsidP="00043101">
      <w:pPr>
        <w:spacing w:before="10"/>
        <w:ind w:left="5670"/>
        <w:rPr>
          <w:sz w:val="24"/>
          <w:szCs w:val="24"/>
          <w:lang w:val="uk-UA"/>
        </w:rPr>
      </w:pPr>
      <w:r w:rsidRPr="00B8681C">
        <w:rPr>
          <w:sz w:val="24"/>
          <w:szCs w:val="24"/>
          <w:lang w:val="uk-UA"/>
        </w:rPr>
        <w:t>Додаток 3</w:t>
      </w:r>
    </w:p>
    <w:p w14:paraId="79FCEB9A" w14:textId="77777777" w:rsidR="00043101" w:rsidRPr="00B8681C" w:rsidRDefault="00043101" w:rsidP="00043101">
      <w:pPr>
        <w:spacing w:before="10"/>
        <w:ind w:left="5670"/>
        <w:rPr>
          <w:sz w:val="24"/>
          <w:szCs w:val="24"/>
          <w:lang w:val="uk-UA"/>
        </w:rPr>
      </w:pPr>
      <w:r w:rsidRPr="00B8681C">
        <w:rPr>
          <w:sz w:val="24"/>
          <w:szCs w:val="24"/>
          <w:lang w:val="uk-UA"/>
        </w:rPr>
        <w:t>до договору про постачання електричної енергії постачальником універсальних послуг</w:t>
      </w:r>
    </w:p>
    <w:p w14:paraId="76E75CD1" w14:textId="77777777" w:rsidR="00043101" w:rsidRPr="00B8681C" w:rsidRDefault="00043101" w:rsidP="00043101">
      <w:pPr>
        <w:spacing w:before="10"/>
        <w:jc w:val="center"/>
        <w:rPr>
          <w:sz w:val="24"/>
          <w:szCs w:val="24"/>
          <w:lang w:val="uk-UA"/>
        </w:rPr>
      </w:pPr>
    </w:p>
    <w:p w14:paraId="24E0B118" w14:textId="77777777" w:rsidR="00043101" w:rsidRPr="00B8681C" w:rsidRDefault="00043101" w:rsidP="00043101">
      <w:pPr>
        <w:spacing w:before="10"/>
        <w:jc w:val="center"/>
        <w:rPr>
          <w:sz w:val="24"/>
          <w:szCs w:val="24"/>
          <w:lang w:val="uk-UA"/>
        </w:rPr>
      </w:pPr>
      <w:r w:rsidRPr="00B8681C">
        <w:rPr>
          <w:sz w:val="24"/>
          <w:szCs w:val="24"/>
          <w:lang w:val="uk-UA"/>
        </w:rPr>
        <w:t> </w:t>
      </w:r>
      <w:r w:rsidRPr="00B8681C">
        <w:rPr>
          <w:b/>
          <w:bCs/>
          <w:sz w:val="24"/>
          <w:szCs w:val="24"/>
          <w:lang w:val="uk-UA"/>
        </w:rPr>
        <w:t>КОМЕРЦІЙНА ПРОПОЗИЦІЯ № 2У</w:t>
      </w:r>
    </w:p>
    <w:p w14:paraId="5AF6A03D" w14:textId="5A3A4591" w:rsidR="00043101" w:rsidRPr="00B8681C" w:rsidRDefault="00043101" w:rsidP="00043101">
      <w:pPr>
        <w:spacing w:before="10"/>
        <w:jc w:val="center"/>
        <w:rPr>
          <w:sz w:val="24"/>
          <w:szCs w:val="24"/>
          <w:lang w:val="uk-UA"/>
        </w:rPr>
      </w:pPr>
      <w:r w:rsidRPr="00B8681C">
        <w:rPr>
          <w:b/>
          <w:bCs/>
          <w:sz w:val="24"/>
          <w:szCs w:val="24"/>
          <w:lang w:val="uk-UA"/>
        </w:rPr>
        <w:t>(розповсюджується лише на побутових споживачів</w:t>
      </w:r>
      <w:r>
        <w:rPr>
          <w:b/>
          <w:bCs/>
          <w:sz w:val="24"/>
          <w:szCs w:val="24"/>
          <w:lang w:val="uk-UA"/>
        </w:rPr>
        <w:t xml:space="preserve">, що </w:t>
      </w:r>
      <w:r w:rsidRPr="00D7023F">
        <w:rPr>
          <w:b/>
          <w:bCs/>
          <w:sz w:val="24"/>
          <w:szCs w:val="24"/>
          <w:lang w:val="uk-UA"/>
        </w:rPr>
        <w:t>прожива</w:t>
      </w:r>
      <w:r>
        <w:rPr>
          <w:b/>
          <w:bCs/>
          <w:sz w:val="24"/>
          <w:szCs w:val="24"/>
          <w:lang w:val="uk-UA"/>
        </w:rPr>
        <w:t>ють</w:t>
      </w:r>
      <w:r w:rsidRPr="00D7023F">
        <w:rPr>
          <w:b/>
          <w:bCs/>
          <w:sz w:val="24"/>
          <w:szCs w:val="24"/>
          <w:lang w:val="uk-UA"/>
        </w:rPr>
        <w:t xml:space="preserve"> в житлових будинках (у тому числі в житлових будинках готельного типу, квартирах та гуртожитках), обладнаних в установленому порядку електроопалювальними установками (у тому числі в сільській місцевості)</w:t>
      </w:r>
    </w:p>
    <w:p w14:paraId="426E18AE" w14:textId="77777777" w:rsidR="00043101" w:rsidRPr="00B8681C" w:rsidRDefault="00043101" w:rsidP="00043101">
      <w:pPr>
        <w:spacing w:before="10"/>
        <w:jc w:val="center"/>
        <w:rPr>
          <w:sz w:val="24"/>
          <w:szCs w:val="24"/>
          <w:lang w:val="uk-UA"/>
        </w:rPr>
      </w:pPr>
      <w:r w:rsidRPr="00B8681C">
        <w:rPr>
          <w:sz w:val="24"/>
          <w:szCs w:val="24"/>
          <w:lang w:val="uk-UA"/>
        </w:rPr>
        <w:t> </w:t>
      </w:r>
    </w:p>
    <w:tbl>
      <w:tblPr>
        <w:tblW w:w="10001" w:type="dxa"/>
        <w:tblCellSpacing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261"/>
        <w:gridCol w:w="6740"/>
      </w:tblGrid>
      <w:tr w:rsidR="00043101" w:rsidRPr="00D97A90" w14:paraId="79999333" w14:textId="77777777" w:rsidTr="007F4032">
        <w:trPr>
          <w:tblCellSpacing w:w="0" w:type="dxa"/>
        </w:trPr>
        <w:tc>
          <w:tcPr>
            <w:tcW w:w="3261" w:type="dxa"/>
            <w:tcMar>
              <w:top w:w="0" w:type="dxa"/>
              <w:left w:w="113" w:type="dxa"/>
              <w:bottom w:w="0" w:type="dxa"/>
              <w:right w:w="108" w:type="dxa"/>
            </w:tcMar>
            <w:hideMark/>
          </w:tcPr>
          <w:p w14:paraId="14B5A0DB" w14:textId="77777777" w:rsidR="00043101" w:rsidRPr="00B8681C" w:rsidRDefault="00043101" w:rsidP="007F4032">
            <w:pPr>
              <w:spacing w:before="10" w:after="100" w:afterAutospacing="1"/>
              <w:rPr>
                <w:sz w:val="24"/>
                <w:szCs w:val="24"/>
                <w:lang w:val="uk-UA"/>
              </w:rPr>
            </w:pPr>
            <w:r w:rsidRPr="00B8681C">
              <w:rPr>
                <w:b/>
                <w:bCs/>
                <w:sz w:val="24"/>
                <w:szCs w:val="24"/>
                <w:lang w:val="uk-UA"/>
              </w:rPr>
              <w:t xml:space="preserve">Ціна </w:t>
            </w:r>
          </w:p>
        </w:tc>
        <w:tc>
          <w:tcPr>
            <w:tcW w:w="6740" w:type="dxa"/>
            <w:tcMar>
              <w:top w:w="0" w:type="dxa"/>
              <w:left w:w="113" w:type="dxa"/>
              <w:bottom w:w="0" w:type="dxa"/>
              <w:right w:w="108" w:type="dxa"/>
            </w:tcMar>
            <w:hideMark/>
          </w:tcPr>
          <w:p w14:paraId="16E8BCA4" w14:textId="77777777" w:rsidR="00043101" w:rsidRPr="00D97A90" w:rsidRDefault="00043101" w:rsidP="007F4032">
            <w:pPr>
              <w:spacing w:before="10"/>
              <w:rPr>
                <w:sz w:val="24"/>
                <w:szCs w:val="24"/>
                <w:lang w:val="uk-UA"/>
              </w:rPr>
            </w:pPr>
            <w:r w:rsidRPr="00B8681C">
              <w:rPr>
                <w:sz w:val="24"/>
                <w:szCs w:val="24"/>
                <w:lang w:val="uk-UA"/>
              </w:rPr>
              <w:t xml:space="preserve">Постачання електричної енергії здійснюється за </w:t>
            </w:r>
            <w:r>
              <w:rPr>
                <w:sz w:val="24"/>
                <w:szCs w:val="24"/>
                <w:lang w:val="uk-UA"/>
              </w:rPr>
              <w:t>фіксованими</w:t>
            </w:r>
            <w:r w:rsidRPr="00B8681C">
              <w:rPr>
                <w:sz w:val="24"/>
                <w:szCs w:val="24"/>
                <w:lang w:val="uk-UA"/>
              </w:rPr>
              <w:t xml:space="preserve"> цінами на електроенергію, що відпускається населенню, затвердженими </w:t>
            </w:r>
            <w:r>
              <w:rPr>
                <w:sz w:val="24"/>
                <w:szCs w:val="24"/>
                <w:lang w:val="uk-UA"/>
              </w:rPr>
              <w:t>постановою Кабінету Міністрів України</w:t>
            </w:r>
            <w:r w:rsidRPr="00B8681C">
              <w:rPr>
                <w:sz w:val="24"/>
                <w:szCs w:val="24"/>
                <w:lang w:val="uk-UA"/>
              </w:rPr>
              <w:t>, які включають, в тому числі витрати на розподіл електричної енергії.</w:t>
            </w:r>
          </w:p>
        </w:tc>
      </w:tr>
      <w:tr w:rsidR="00043101" w:rsidRPr="00B8681C" w14:paraId="4AD7E6C7" w14:textId="77777777" w:rsidTr="007F4032">
        <w:trPr>
          <w:tblCellSpacing w:w="0" w:type="dxa"/>
        </w:trPr>
        <w:tc>
          <w:tcPr>
            <w:tcW w:w="3261" w:type="dxa"/>
            <w:tcMar>
              <w:top w:w="0" w:type="dxa"/>
              <w:left w:w="113" w:type="dxa"/>
              <w:bottom w:w="0" w:type="dxa"/>
              <w:right w:w="108" w:type="dxa"/>
            </w:tcMar>
            <w:hideMark/>
          </w:tcPr>
          <w:p w14:paraId="13B11181" w14:textId="77777777" w:rsidR="00043101" w:rsidRPr="00B8681C" w:rsidRDefault="00043101" w:rsidP="007F4032">
            <w:pPr>
              <w:spacing w:before="100" w:beforeAutospacing="1" w:after="100" w:afterAutospacing="1"/>
              <w:rPr>
                <w:sz w:val="24"/>
                <w:szCs w:val="24"/>
                <w:lang w:val="uk-UA"/>
              </w:rPr>
            </w:pPr>
            <w:r w:rsidRPr="00B8681C">
              <w:rPr>
                <w:b/>
                <w:bCs/>
                <w:sz w:val="24"/>
                <w:szCs w:val="24"/>
                <w:lang w:val="uk-UA"/>
              </w:rPr>
              <w:t>Критерій, якому має відповідати споживач, що обирає дану комерційну пропозицію</w:t>
            </w:r>
          </w:p>
        </w:tc>
        <w:tc>
          <w:tcPr>
            <w:tcW w:w="6740" w:type="dxa"/>
            <w:tcMar>
              <w:top w:w="0" w:type="dxa"/>
              <w:left w:w="113" w:type="dxa"/>
              <w:bottom w:w="0" w:type="dxa"/>
              <w:right w:w="108" w:type="dxa"/>
            </w:tcMar>
            <w:hideMark/>
          </w:tcPr>
          <w:p w14:paraId="0AF92CA7" w14:textId="77777777" w:rsidR="00043101" w:rsidRDefault="00043101" w:rsidP="007F4032">
            <w:pPr>
              <w:spacing w:before="100" w:beforeAutospacing="1" w:after="100" w:afterAutospacing="1"/>
              <w:rPr>
                <w:sz w:val="24"/>
                <w:szCs w:val="24"/>
                <w:lang w:val="uk-UA"/>
              </w:rPr>
            </w:pPr>
            <w:r w:rsidRPr="00B8681C">
              <w:rPr>
                <w:sz w:val="24"/>
                <w:szCs w:val="24"/>
                <w:lang w:val="uk-UA"/>
              </w:rPr>
              <w:t>Побутовий споживач.</w:t>
            </w:r>
          </w:p>
          <w:p w14:paraId="1432AB48" w14:textId="77777777" w:rsidR="00043101" w:rsidRPr="00275084" w:rsidRDefault="00043101" w:rsidP="007F4032">
            <w:pPr>
              <w:spacing w:before="100" w:beforeAutospacing="1" w:after="100" w:afterAutospacing="1"/>
              <w:rPr>
                <w:i/>
                <w:sz w:val="24"/>
                <w:szCs w:val="24"/>
                <w:lang w:val="uk-UA"/>
              </w:rPr>
            </w:pPr>
            <w:r w:rsidRPr="007E7BFA">
              <w:rPr>
                <w:i/>
                <w:sz w:val="24"/>
                <w:szCs w:val="24"/>
                <w:lang w:val="uk-UA"/>
              </w:rPr>
              <w:t xml:space="preserve">Проживає в житлових будинках (у тому числі в житлових будинках готельного типу, квартирах та </w:t>
            </w:r>
            <w:bookmarkStart w:id="0" w:name="_GoBack"/>
            <w:bookmarkEnd w:id="0"/>
            <w:r w:rsidRPr="007E7BFA">
              <w:rPr>
                <w:i/>
                <w:sz w:val="24"/>
                <w:szCs w:val="24"/>
                <w:lang w:val="uk-UA"/>
              </w:rPr>
              <w:t>гуртожитках), обладнаних в установленому порядку електроопалювальними установками (у тому числі в сільській місцевості).</w:t>
            </w:r>
          </w:p>
          <w:p w14:paraId="76E1ADDD" w14:textId="77777777" w:rsidR="00043101" w:rsidRPr="00B8681C" w:rsidRDefault="00043101" w:rsidP="007F4032">
            <w:pPr>
              <w:spacing w:before="100" w:beforeAutospacing="1" w:after="100" w:afterAutospacing="1"/>
              <w:rPr>
                <w:sz w:val="24"/>
                <w:szCs w:val="24"/>
                <w:lang w:val="uk-UA"/>
              </w:rPr>
            </w:pPr>
          </w:p>
        </w:tc>
      </w:tr>
      <w:tr w:rsidR="00043101" w:rsidRPr="00944FA6" w14:paraId="7E4BDBD2" w14:textId="77777777" w:rsidTr="007F4032">
        <w:trPr>
          <w:tblCellSpacing w:w="0" w:type="dxa"/>
        </w:trPr>
        <w:tc>
          <w:tcPr>
            <w:tcW w:w="3261" w:type="dxa"/>
            <w:tcMar>
              <w:top w:w="0" w:type="dxa"/>
              <w:left w:w="113" w:type="dxa"/>
              <w:bottom w:w="0" w:type="dxa"/>
              <w:right w:w="108" w:type="dxa"/>
            </w:tcMar>
            <w:hideMark/>
          </w:tcPr>
          <w:p w14:paraId="57BD44EC" w14:textId="77777777" w:rsidR="00043101" w:rsidRPr="00B8681C" w:rsidRDefault="00043101" w:rsidP="007F4032">
            <w:pPr>
              <w:spacing w:before="100" w:beforeAutospacing="1" w:after="100" w:afterAutospacing="1"/>
              <w:rPr>
                <w:sz w:val="24"/>
                <w:szCs w:val="24"/>
                <w:lang w:val="uk-UA"/>
              </w:rPr>
            </w:pPr>
            <w:r w:rsidRPr="00B8681C">
              <w:rPr>
                <w:b/>
                <w:bCs/>
                <w:sz w:val="24"/>
                <w:szCs w:val="24"/>
                <w:lang w:val="uk-UA"/>
              </w:rPr>
              <w:t>Спосіб оплати</w:t>
            </w:r>
          </w:p>
        </w:tc>
        <w:tc>
          <w:tcPr>
            <w:tcW w:w="6740" w:type="dxa"/>
            <w:tcMar>
              <w:top w:w="0" w:type="dxa"/>
              <w:left w:w="113" w:type="dxa"/>
              <w:bottom w:w="0" w:type="dxa"/>
              <w:right w:w="108" w:type="dxa"/>
            </w:tcMar>
            <w:hideMark/>
          </w:tcPr>
          <w:p w14:paraId="1309E967" w14:textId="77777777" w:rsidR="00043101" w:rsidRPr="00B8681C" w:rsidRDefault="00043101" w:rsidP="007F4032">
            <w:pPr>
              <w:spacing w:before="100" w:beforeAutospacing="1" w:after="100" w:afterAutospacing="1"/>
              <w:rPr>
                <w:sz w:val="24"/>
                <w:szCs w:val="24"/>
                <w:lang w:val="uk-UA"/>
              </w:rPr>
            </w:pPr>
            <w:r w:rsidRPr="00B8681C">
              <w:rPr>
                <w:sz w:val="24"/>
                <w:szCs w:val="24"/>
                <w:lang w:val="uk-UA"/>
              </w:rPr>
              <w:t>Оплата за активну електричну енергію, у тому числі за послуги з розподілу, здійснюється по факту на поточний рахунок зі спеціальним режимом використання Постачальника.</w:t>
            </w:r>
          </w:p>
        </w:tc>
      </w:tr>
      <w:tr w:rsidR="00043101" w:rsidRPr="00944FA6" w14:paraId="6CDD6102" w14:textId="77777777" w:rsidTr="007F4032">
        <w:trPr>
          <w:tblCellSpacing w:w="0" w:type="dxa"/>
        </w:trPr>
        <w:tc>
          <w:tcPr>
            <w:tcW w:w="3261" w:type="dxa"/>
            <w:tcMar>
              <w:top w:w="0" w:type="dxa"/>
              <w:left w:w="113" w:type="dxa"/>
              <w:bottom w:w="0" w:type="dxa"/>
              <w:right w:w="108" w:type="dxa"/>
            </w:tcMar>
            <w:hideMark/>
          </w:tcPr>
          <w:p w14:paraId="3F3D0B77" w14:textId="77777777" w:rsidR="00043101" w:rsidRPr="00B8681C" w:rsidRDefault="00043101" w:rsidP="007F4032">
            <w:pPr>
              <w:spacing w:before="100" w:beforeAutospacing="1" w:after="100" w:afterAutospacing="1"/>
              <w:rPr>
                <w:sz w:val="24"/>
                <w:szCs w:val="24"/>
                <w:lang w:val="uk-UA"/>
              </w:rPr>
            </w:pPr>
            <w:r w:rsidRPr="00B8681C">
              <w:rPr>
                <w:b/>
                <w:bCs/>
                <w:sz w:val="24"/>
                <w:szCs w:val="24"/>
                <w:lang w:val="uk-UA"/>
              </w:rPr>
              <w:t>Спосіб оплати послуг за розподіл електричної енергії</w:t>
            </w:r>
          </w:p>
        </w:tc>
        <w:tc>
          <w:tcPr>
            <w:tcW w:w="6740" w:type="dxa"/>
            <w:tcMar>
              <w:top w:w="0" w:type="dxa"/>
              <w:left w:w="113" w:type="dxa"/>
              <w:bottom w:w="0" w:type="dxa"/>
              <w:right w:w="108" w:type="dxa"/>
            </w:tcMar>
            <w:hideMark/>
          </w:tcPr>
          <w:p w14:paraId="23ED9798" w14:textId="77777777" w:rsidR="00043101" w:rsidRPr="00B8681C" w:rsidRDefault="00043101" w:rsidP="007F4032">
            <w:pPr>
              <w:spacing w:before="100" w:beforeAutospacing="1" w:after="100" w:afterAutospacing="1"/>
              <w:rPr>
                <w:sz w:val="24"/>
                <w:szCs w:val="24"/>
                <w:lang w:val="uk-UA"/>
              </w:rPr>
            </w:pPr>
            <w:r w:rsidRPr="00B8681C">
              <w:rPr>
                <w:sz w:val="24"/>
                <w:szCs w:val="24"/>
                <w:lang w:val="uk-UA"/>
              </w:rPr>
              <w:t>Споживач проводить оплату за послуги з розподілу електричної енергії на підставі рахунку через Постачальника з наступним переведенням цієї оплати Постачальником оператору системи.</w:t>
            </w:r>
          </w:p>
        </w:tc>
      </w:tr>
      <w:tr w:rsidR="00043101" w:rsidRPr="00944FA6" w14:paraId="24E755A1" w14:textId="77777777" w:rsidTr="007F4032">
        <w:trPr>
          <w:tblCellSpacing w:w="0" w:type="dxa"/>
        </w:trPr>
        <w:tc>
          <w:tcPr>
            <w:tcW w:w="3261" w:type="dxa"/>
            <w:tcMar>
              <w:top w:w="0" w:type="dxa"/>
              <w:left w:w="113" w:type="dxa"/>
              <w:bottom w:w="0" w:type="dxa"/>
              <w:right w:w="108" w:type="dxa"/>
            </w:tcMar>
            <w:hideMark/>
          </w:tcPr>
          <w:p w14:paraId="03DF6BD0" w14:textId="77777777" w:rsidR="00043101" w:rsidRPr="00B8681C" w:rsidRDefault="00043101" w:rsidP="007F4032">
            <w:pPr>
              <w:spacing w:before="100" w:beforeAutospacing="1" w:after="100" w:afterAutospacing="1"/>
              <w:rPr>
                <w:sz w:val="24"/>
                <w:szCs w:val="24"/>
                <w:lang w:val="uk-UA"/>
              </w:rPr>
            </w:pPr>
            <w:r w:rsidRPr="00B8681C">
              <w:rPr>
                <w:b/>
                <w:bCs/>
                <w:sz w:val="24"/>
                <w:szCs w:val="24"/>
                <w:lang w:val="uk-UA"/>
              </w:rPr>
              <w:t>Термін надання рахунку за спожиту електричну енергію та термін його оплати</w:t>
            </w:r>
          </w:p>
        </w:tc>
        <w:tc>
          <w:tcPr>
            <w:tcW w:w="6740" w:type="dxa"/>
            <w:tcMar>
              <w:top w:w="0" w:type="dxa"/>
              <w:left w:w="113" w:type="dxa"/>
              <w:bottom w:w="0" w:type="dxa"/>
              <w:right w:w="108" w:type="dxa"/>
            </w:tcMar>
            <w:hideMark/>
          </w:tcPr>
          <w:p w14:paraId="2D37B533" w14:textId="77777777" w:rsidR="00043101" w:rsidRDefault="00043101" w:rsidP="007F4032">
            <w:pPr>
              <w:rPr>
                <w:sz w:val="24"/>
                <w:szCs w:val="24"/>
                <w:lang w:val="uk-UA"/>
              </w:rPr>
            </w:pPr>
            <w:r w:rsidRPr="00B8681C">
              <w:rPr>
                <w:sz w:val="24"/>
                <w:szCs w:val="24"/>
                <w:lang w:val="uk-UA"/>
              </w:rPr>
              <w:t>Постачальник надає рахунок за спожиту електричну енергію  до сплати із зазначенням в ньому обсягу споживання, розрахованого  оператором системи.</w:t>
            </w:r>
          </w:p>
          <w:p w14:paraId="4D2F2691" w14:textId="77777777" w:rsidR="00043101" w:rsidRPr="00B8681C" w:rsidRDefault="00043101" w:rsidP="007F4032">
            <w:pPr>
              <w:rPr>
                <w:sz w:val="24"/>
                <w:szCs w:val="24"/>
                <w:lang w:val="uk-UA"/>
              </w:rPr>
            </w:pPr>
            <w:r w:rsidRPr="00B8681C">
              <w:rPr>
                <w:sz w:val="24"/>
                <w:szCs w:val="24"/>
                <w:lang w:val="uk-UA"/>
              </w:rPr>
              <w:t>Рахунок за спожиту електричну енергію оплачується протягом 10 робочих днів від дня отримання рахунку побутовим споживачем, але не пізніше 20 календарного дня після закінчення розрахункового періоду.</w:t>
            </w:r>
          </w:p>
        </w:tc>
      </w:tr>
      <w:tr w:rsidR="00043101" w:rsidRPr="00944FA6" w14:paraId="7F2F654D" w14:textId="77777777" w:rsidTr="007F4032">
        <w:trPr>
          <w:tblCellSpacing w:w="0" w:type="dxa"/>
        </w:trPr>
        <w:tc>
          <w:tcPr>
            <w:tcW w:w="3261" w:type="dxa"/>
            <w:tcMar>
              <w:top w:w="0" w:type="dxa"/>
              <w:left w:w="113" w:type="dxa"/>
              <w:bottom w:w="0" w:type="dxa"/>
              <w:right w:w="108" w:type="dxa"/>
            </w:tcMar>
            <w:hideMark/>
          </w:tcPr>
          <w:p w14:paraId="59CCC9DE" w14:textId="77777777" w:rsidR="00043101" w:rsidRPr="00B8681C" w:rsidRDefault="00043101" w:rsidP="007F4032">
            <w:pPr>
              <w:spacing w:before="100" w:beforeAutospacing="1" w:after="100" w:afterAutospacing="1"/>
              <w:rPr>
                <w:b/>
                <w:bCs/>
                <w:sz w:val="24"/>
                <w:szCs w:val="24"/>
                <w:lang w:val="uk-UA"/>
              </w:rPr>
            </w:pPr>
            <w:r>
              <w:rPr>
                <w:b/>
                <w:bCs/>
                <w:sz w:val="24"/>
                <w:szCs w:val="24"/>
                <w:lang w:val="uk-UA"/>
              </w:rPr>
              <w:t>Рекомендований платіж (попередня оплата)</w:t>
            </w:r>
          </w:p>
        </w:tc>
        <w:tc>
          <w:tcPr>
            <w:tcW w:w="6740" w:type="dxa"/>
            <w:tcMar>
              <w:top w:w="0" w:type="dxa"/>
              <w:left w:w="113" w:type="dxa"/>
              <w:bottom w:w="0" w:type="dxa"/>
              <w:right w:w="108" w:type="dxa"/>
            </w:tcMar>
            <w:hideMark/>
          </w:tcPr>
          <w:p w14:paraId="20693553" w14:textId="77777777" w:rsidR="00043101" w:rsidRPr="004E0599" w:rsidRDefault="00043101" w:rsidP="007F4032">
            <w:pPr>
              <w:rPr>
                <w:sz w:val="24"/>
                <w:szCs w:val="24"/>
                <w:lang w:val="uk-UA"/>
              </w:rPr>
            </w:pPr>
            <w:r>
              <w:rPr>
                <w:sz w:val="24"/>
                <w:szCs w:val="24"/>
                <w:lang w:val="uk-UA"/>
              </w:rPr>
              <w:t xml:space="preserve">Рекомендований платіж (попередня оплата) </w:t>
            </w:r>
            <w:r w:rsidRPr="00662331">
              <w:rPr>
                <w:sz w:val="24"/>
                <w:szCs w:val="24"/>
                <w:lang w:val="uk-UA"/>
              </w:rPr>
              <w:t xml:space="preserve">не є </w:t>
            </w:r>
            <w:r>
              <w:rPr>
                <w:sz w:val="24"/>
                <w:szCs w:val="24"/>
                <w:lang w:val="uk-UA"/>
              </w:rPr>
              <w:t>обов’язковою</w:t>
            </w:r>
            <w:r w:rsidRPr="00662331">
              <w:rPr>
                <w:sz w:val="24"/>
                <w:szCs w:val="24"/>
                <w:lang w:val="uk-UA"/>
              </w:rPr>
              <w:t xml:space="preserve"> сум</w:t>
            </w:r>
            <w:r>
              <w:rPr>
                <w:sz w:val="24"/>
                <w:szCs w:val="24"/>
                <w:lang w:val="uk-UA"/>
              </w:rPr>
              <w:t>ою</w:t>
            </w:r>
            <w:r w:rsidRPr="00662331">
              <w:rPr>
                <w:sz w:val="24"/>
                <w:szCs w:val="24"/>
                <w:lang w:val="uk-UA"/>
              </w:rPr>
              <w:t xml:space="preserve"> до сплати. Виставляється у </w:t>
            </w:r>
            <w:r>
              <w:rPr>
                <w:sz w:val="24"/>
                <w:szCs w:val="24"/>
                <w:lang w:val="uk-UA"/>
              </w:rPr>
              <w:t>рахунку</w:t>
            </w:r>
            <w:r w:rsidRPr="00662331">
              <w:rPr>
                <w:sz w:val="24"/>
                <w:szCs w:val="24"/>
                <w:lang w:val="uk-UA"/>
              </w:rPr>
              <w:t xml:space="preserve"> </w:t>
            </w:r>
            <w:r>
              <w:rPr>
                <w:sz w:val="24"/>
                <w:szCs w:val="24"/>
                <w:lang w:val="uk-UA"/>
              </w:rPr>
              <w:t xml:space="preserve">для </w:t>
            </w:r>
            <w:r w:rsidRPr="00662331">
              <w:rPr>
                <w:sz w:val="24"/>
                <w:szCs w:val="24"/>
                <w:lang w:val="uk-UA"/>
              </w:rPr>
              <w:t>запоб</w:t>
            </w:r>
            <w:r>
              <w:rPr>
                <w:sz w:val="24"/>
                <w:szCs w:val="24"/>
                <w:lang w:val="uk-UA"/>
              </w:rPr>
              <w:t>ігання</w:t>
            </w:r>
            <w:r w:rsidRPr="00662331">
              <w:rPr>
                <w:sz w:val="24"/>
                <w:szCs w:val="24"/>
                <w:lang w:val="uk-UA"/>
              </w:rPr>
              <w:t xml:space="preserve"> заборгованості. Сплачується за бажанням споживача.</w:t>
            </w:r>
          </w:p>
        </w:tc>
      </w:tr>
      <w:tr w:rsidR="00043101" w:rsidRPr="00944FA6" w14:paraId="731CAC70" w14:textId="77777777" w:rsidTr="007F4032">
        <w:trPr>
          <w:tblCellSpacing w:w="0" w:type="dxa"/>
        </w:trPr>
        <w:tc>
          <w:tcPr>
            <w:tcW w:w="3261" w:type="dxa"/>
            <w:tcMar>
              <w:top w:w="0" w:type="dxa"/>
              <w:left w:w="113" w:type="dxa"/>
              <w:bottom w:w="0" w:type="dxa"/>
              <w:right w:w="108" w:type="dxa"/>
            </w:tcMar>
            <w:hideMark/>
          </w:tcPr>
          <w:p w14:paraId="584E24FF" w14:textId="77777777" w:rsidR="00043101" w:rsidRPr="00B8681C" w:rsidRDefault="00043101" w:rsidP="007F4032">
            <w:pPr>
              <w:spacing w:before="100" w:beforeAutospacing="1" w:after="100" w:afterAutospacing="1"/>
              <w:rPr>
                <w:sz w:val="24"/>
                <w:szCs w:val="24"/>
                <w:lang w:val="uk-UA"/>
              </w:rPr>
            </w:pPr>
            <w:r w:rsidRPr="00B8681C">
              <w:rPr>
                <w:b/>
                <w:bCs/>
                <w:sz w:val="24"/>
                <w:szCs w:val="24"/>
                <w:lang w:val="uk-UA"/>
              </w:rPr>
              <w:t xml:space="preserve">Розмір пені за порушення строку оплати та/або штраф </w:t>
            </w:r>
          </w:p>
        </w:tc>
        <w:tc>
          <w:tcPr>
            <w:tcW w:w="6740" w:type="dxa"/>
            <w:tcMar>
              <w:top w:w="0" w:type="dxa"/>
              <w:left w:w="113" w:type="dxa"/>
              <w:bottom w:w="0" w:type="dxa"/>
              <w:right w:w="108" w:type="dxa"/>
            </w:tcMar>
            <w:hideMark/>
          </w:tcPr>
          <w:p w14:paraId="48EE2560" w14:textId="77777777" w:rsidR="00043101" w:rsidRPr="00B8681C" w:rsidRDefault="00043101" w:rsidP="007F4032">
            <w:pPr>
              <w:spacing w:before="100" w:beforeAutospacing="1" w:after="100" w:afterAutospacing="1"/>
              <w:rPr>
                <w:sz w:val="24"/>
                <w:szCs w:val="24"/>
                <w:lang w:val="uk-UA"/>
              </w:rPr>
            </w:pPr>
            <w:r w:rsidRPr="00B8681C">
              <w:rPr>
                <w:sz w:val="24"/>
                <w:szCs w:val="24"/>
                <w:lang w:val="uk-UA"/>
              </w:rPr>
              <w:t>За внесення платежів, передбачених умовами Договору, з порушенням термінів, визначених цією комерційною пропозицією, Постачальник має право нарахувати Споживачу  пеню в розмірі 0,01 % від суми заборгованості за кожен день прострочення. Загальний розмір сплаченої пені не може перевищувати 100 % загальної суми боргу.</w:t>
            </w:r>
          </w:p>
        </w:tc>
      </w:tr>
      <w:tr w:rsidR="00043101" w:rsidRPr="00944FA6" w14:paraId="073A249A" w14:textId="77777777" w:rsidTr="007F4032">
        <w:trPr>
          <w:tblCellSpacing w:w="0" w:type="dxa"/>
        </w:trPr>
        <w:tc>
          <w:tcPr>
            <w:tcW w:w="3261" w:type="dxa"/>
            <w:tcMar>
              <w:top w:w="0" w:type="dxa"/>
              <w:left w:w="113" w:type="dxa"/>
              <w:bottom w:w="0" w:type="dxa"/>
              <w:right w:w="108" w:type="dxa"/>
            </w:tcMar>
            <w:hideMark/>
          </w:tcPr>
          <w:p w14:paraId="2E10395A" w14:textId="77777777" w:rsidR="00043101" w:rsidRPr="00B8681C" w:rsidRDefault="00043101" w:rsidP="007F4032">
            <w:pPr>
              <w:spacing w:before="100" w:beforeAutospacing="1" w:after="100" w:afterAutospacing="1"/>
              <w:rPr>
                <w:sz w:val="24"/>
                <w:szCs w:val="24"/>
                <w:lang w:val="uk-UA"/>
              </w:rPr>
            </w:pPr>
            <w:r w:rsidRPr="00B8681C">
              <w:rPr>
                <w:b/>
                <w:bCs/>
                <w:sz w:val="24"/>
                <w:szCs w:val="24"/>
                <w:lang w:val="uk-UA"/>
              </w:rPr>
              <w:t xml:space="preserve">Розмір компенсації Споживачу за недодержання </w:t>
            </w:r>
            <w:r w:rsidRPr="00B8681C">
              <w:rPr>
                <w:b/>
                <w:bCs/>
                <w:sz w:val="24"/>
                <w:szCs w:val="24"/>
                <w:lang w:val="uk-UA"/>
              </w:rPr>
              <w:lastRenderedPageBreak/>
              <w:t>Постачальником якості надання комерційних послуг</w:t>
            </w:r>
          </w:p>
        </w:tc>
        <w:tc>
          <w:tcPr>
            <w:tcW w:w="6740" w:type="dxa"/>
            <w:tcMar>
              <w:top w:w="0" w:type="dxa"/>
              <w:left w:w="113" w:type="dxa"/>
              <w:bottom w:w="0" w:type="dxa"/>
              <w:right w:w="108" w:type="dxa"/>
            </w:tcMar>
            <w:hideMark/>
          </w:tcPr>
          <w:p w14:paraId="3F75047E" w14:textId="77777777" w:rsidR="00043101" w:rsidRPr="00B8681C" w:rsidRDefault="00043101" w:rsidP="007F4032">
            <w:pPr>
              <w:spacing w:before="100" w:beforeAutospacing="1" w:after="100" w:afterAutospacing="1"/>
              <w:rPr>
                <w:sz w:val="24"/>
                <w:szCs w:val="24"/>
                <w:lang w:val="uk-UA"/>
              </w:rPr>
            </w:pPr>
            <w:r w:rsidRPr="00B8681C">
              <w:rPr>
                <w:sz w:val="24"/>
                <w:szCs w:val="24"/>
                <w:lang w:val="uk-UA"/>
              </w:rPr>
              <w:lastRenderedPageBreak/>
              <w:t>Розмір компенсації Споживачу за недодержання Постачальником якості надання комерційних послуг надається у порядку та розмірі, визначеному Регулятором.</w:t>
            </w:r>
          </w:p>
        </w:tc>
      </w:tr>
      <w:tr w:rsidR="00043101" w:rsidRPr="00944FA6" w14:paraId="2517C3DD" w14:textId="77777777" w:rsidTr="007F4032">
        <w:trPr>
          <w:tblCellSpacing w:w="0" w:type="dxa"/>
        </w:trPr>
        <w:tc>
          <w:tcPr>
            <w:tcW w:w="3261" w:type="dxa"/>
            <w:tcMar>
              <w:top w:w="0" w:type="dxa"/>
              <w:left w:w="113" w:type="dxa"/>
              <w:bottom w:w="0" w:type="dxa"/>
              <w:right w:w="108" w:type="dxa"/>
            </w:tcMar>
            <w:hideMark/>
          </w:tcPr>
          <w:p w14:paraId="5C9ADEB7" w14:textId="77777777" w:rsidR="00043101" w:rsidRPr="00B8681C" w:rsidRDefault="00043101" w:rsidP="007F4032">
            <w:pPr>
              <w:spacing w:before="100" w:beforeAutospacing="1" w:after="100" w:afterAutospacing="1"/>
              <w:rPr>
                <w:sz w:val="24"/>
                <w:szCs w:val="24"/>
                <w:lang w:val="uk-UA"/>
              </w:rPr>
            </w:pPr>
            <w:r w:rsidRPr="00B8681C">
              <w:rPr>
                <w:b/>
                <w:bCs/>
                <w:sz w:val="24"/>
                <w:szCs w:val="24"/>
                <w:lang w:val="uk-UA"/>
              </w:rPr>
              <w:t>Термін дії Договору та умови пролонгації</w:t>
            </w:r>
          </w:p>
        </w:tc>
        <w:tc>
          <w:tcPr>
            <w:tcW w:w="6740" w:type="dxa"/>
            <w:tcMar>
              <w:top w:w="0" w:type="dxa"/>
              <w:left w:w="113" w:type="dxa"/>
              <w:bottom w:w="0" w:type="dxa"/>
              <w:right w:w="108" w:type="dxa"/>
            </w:tcMar>
            <w:hideMark/>
          </w:tcPr>
          <w:p w14:paraId="3C5F0A37" w14:textId="77777777" w:rsidR="00043101" w:rsidRPr="00B8681C" w:rsidRDefault="00043101" w:rsidP="007F4032">
            <w:pPr>
              <w:spacing w:before="100" w:beforeAutospacing="1" w:after="100" w:afterAutospacing="1"/>
              <w:rPr>
                <w:sz w:val="24"/>
                <w:szCs w:val="24"/>
                <w:lang w:val="uk-UA"/>
              </w:rPr>
            </w:pPr>
            <w:r w:rsidRPr="00B8681C">
              <w:rPr>
                <w:sz w:val="24"/>
                <w:szCs w:val="24"/>
                <w:lang w:val="uk-UA"/>
              </w:rPr>
              <w:t>Договір укладається на 1 календарний рік та вважається продовженим на кожний наступний календарний рік, якщо не пізніше ніж за 20 днів до закінчення терміну дії Договору жодною із сторін не буде заявлено про припинення його дії.</w:t>
            </w:r>
          </w:p>
        </w:tc>
      </w:tr>
      <w:tr w:rsidR="00043101" w:rsidRPr="00944FA6" w14:paraId="52D7E7DF" w14:textId="77777777" w:rsidTr="007F4032">
        <w:trPr>
          <w:tblCellSpacing w:w="0" w:type="dxa"/>
        </w:trPr>
        <w:tc>
          <w:tcPr>
            <w:tcW w:w="3261" w:type="dxa"/>
            <w:tcMar>
              <w:top w:w="0" w:type="dxa"/>
              <w:left w:w="113" w:type="dxa"/>
              <w:bottom w:w="0" w:type="dxa"/>
              <w:right w:w="108" w:type="dxa"/>
            </w:tcMar>
            <w:hideMark/>
          </w:tcPr>
          <w:p w14:paraId="1BC1ADA2" w14:textId="77777777" w:rsidR="00043101" w:rsidRPr="00B8681C" w:rsidRDefault="00043101" w:rsidP="007F4032">
            <w:pPr>
              <w:spacing w:before="100" w:beforeAutospacing="1" w:after="100" w:afterAutospacing="1"/>
              <w:rPr>
                <w:sz w:val="24"/>
                <w:szCs w:val="24"/>
                <w:lang w:val="uk-UA"/>
              </w:rPr>
            </w:pPr>
            <w:r w:rsidRPr="00B8681C">
              <w:rPr>
                <w:b/>
                <w:bCs/>
                <w:sz w:val="24"/>
                <w:szCs w:val="24"/>
                <w:lang w:val="uk-UA"/>
              </w:rPr>
              <w:t>Надання пільг, субсидій</w:t>
            </w:r>
          </w:p>
        </w:tc>
        <w:tc>
          <w:tcPr>
            <w:tcW w:w="6740" w:type="dxa"/>
            <w:tcMar>
              <w:top w:w="0" w:type="dxa"/>
              <w:left w:w="113" w:type="dxa"/>
              <w:bottom w:w="0" w:type="dxa"/>
              <w:right w:w="108" w:type="dxa"/>
            </w:tcMar>
            <w:hideMark/>
          </w:tcPr>
          <w:p w14:paraId="702EEA1A" w14:textId="77777777" w:rsidR="00043101" w:rsidRPr="00B8681C" w:rsidRDefault="00043101" w:rsidP="007F4032">
            <w:pPr>
              <w:spacing w:before="100" w:beforeAutospacing="1" w:after="100" w:afterAutospacing="1"/>
              <w:rPr>
                <w:sz w:val="24"/>
                <w:szCs w:val="24"/>
                <w:lang w:val="uk-UA"/>
              </w:rPr>
            </w:pPr>
            <w:r w:rsidRPr="00B8681C">
              <w:rPr>
                <w:sz w:val="24"/>
                <w:szCs w:val="24"/>
                <w:lang w:val="uk-UA"/>
              </w:rPr>
              <w:t>Пільги, субсидії надаються у розмірі та порядку, визначеному чинним законодавством України.</w:t>
            </w:r>
          </w:p>
        </w:tc>
      </w:tr>
      <w:tr w:rsidR="00043101" w:rsidRPr="00944FA6" w14:paraId="067AEF1B" w14:textId="77777777" w:rsidTr="007F4032">
        <w:trPr>
          <w:tblCellSpacing w:w="0" w:type="dxa"/>
        </w:trPr>
        <w:tc>
          <w:tcPr>
            <w:tcW w:w="3261" w:type="dxa"/>
            <w:tcMar>
              <w:top w:w="0" w:type="dxa"/>
              <w:left w:w="113" w:type="dxa"/>
              <w:bottom w:w="0" w:type="dxa"/>
              <w:right w:w="108" w:type="dxa"/>
            </w:tcMar>
            <w:hideMark/>
          </w:tcPr>
          <w:p w14:paraId="3FE73CBD" w14:textId="77777777" w:rsidR="00043101" w:rsidRPr="00B8681C" w:rsidRDefault="00043101" w:rsidP="007F4032">
            <w:pPr>
              <w:spacing w:before="100" w:beforeAutospacing="1" w:after="100" w:afterAutospacing="1"/>
              <w:rPr>
                <w:sz w:val="24"/>
                <w:szCs w:val="24"/>
                <w:lang w:val="uk-UA"/>
              </w:rPr>
            </w:pPr>
            <w:r w:rsidRPr="00B8681C">
              <w:rPr>
                <w:b/>
                <w:bCs/>
                <w:sz w:val="24"/>
                <w:szCs w:val="24"/>
                <w:lang w:val="uk-UA"/>
              </w:rPr>
              <w:t>Інші умови</w:t>
            </w:r>
          </w:p>
        </w:tc>
        <w:tc>
          <w:tcPr>
            <w:tcW w:w="6740" w:type="dxa"/>
            <w:tcMar>
              <w:top w:w="0" w:type="dxa"/>
              <w:left w:w="113" w:type="dxa"/>
              <w:bottom w:w="0" w:type="dxa"/>
              <w:right w:w="108" w:type="dxa"/>
            </w:tcMar>
            <w:hideMark/>
          </w:tcPr>
          <w:p w14:paraId="2511F9A0" w14:textId="77777777" w:rsidR="00043101" w:rsidRPr="00B8681C" w:rsidRDefault="00043101" w:rsidP="007F4032">
            <w:pPr>
              <w:spacing w:before="100" w:beforeAutospacing="1"/>
              <w:rPr>
                <w:sz w:val="24"/>
                <w:szCs w:val="24"/>
                <w:lang w:val="uk-UA"/>
              </w:rPr>
            </w:pPr>
            <w:r w:rsidRPr="00B8681C">
              <w:rPr>
                <w:sz w:val="24"/>
                <w:szCs w:val="24"/>
                <w:lang w:val="uk-UA"/>
              </w:rPr>
              <w:t>Додаткове інформування Споживача про наявність заборгованості тощо може здійснюватися шляхом направлення відповідних повідомлень:</w:t>
            </w:r>
          </w:p>
          <w:p w14:paraId="3DA2363B" w14:textId="77777777" w:rsidR="00043101" w:rsidRPr="00B8681C" w:rsidRDefault="00043101" w:rsidP="007F4032">
            <w:pPr>
              <w:spacing w:before="100" w:beforeAutospacing="1"/>
              <w:rPr>
                <w:sz w:val="24"/>
                <w:szCs w:val="24"/>
                <w:lang w:val="uk-UA"/>
              </w:rPr>
            </w:pPr>
            <w:r w:rsidRPr="00B8681C">
              <w:rPr>
                <w:sz w:val="24"/>
                <w:szCs w:val="24"/>
                <w:lang w:val="uk-UA"/>
              </w:rPr>
              <w:t>- через особистий кабінет на своєму офіційному сайті у мережі Інтернет,</w:t>
            </w:r>
          </w:p>
          <w:p w14:paraId="13075DBD" w14:textId="77777777" w:rsidR="00043101" w:rsidRPr="00B8681C" w:rsidRDefault="00043101" w:rsidP="007F4032">
            <w:pPr>
              <w:spacing w:before="100" w:beforeAutospacing="1"/>
              <w:rPr>
                <w:sz w:val="24"/>
                <w:szCs w:val="24"/>
                <w:lang w:val="uk-UA"/>
              </w:rPr>
            </w:pPr>
            <w:r w:rsidRPr="00B8681C">
              <w:rPr>
                <w:sz w:val="24"/>
                <w:szCs w:val="24"/>
                <w:lang w:val="uk-UA"/>
              </w:rPr>
              <w:t>- засобами електронного зв</w:t>
            </w:r>
            <w:r>
              <w:rPr>
                <w:sz w:val="24"/>
                <w:szCs w:val="24"/>
                <w:lang w:val="uk-UA"/>
              </w:rPr>
              <w:t>’</w:t>
            </w:r>
            <w:r w:rsidRPr="00B8681C">
              <w:rPr>
                <w:sz w:val="24"/>
                <w:szCs w:val="24"/>
                <w:lang w:val="uk-UA"/>
              </w:rPr>
              <w:t>язку на електронну адресу, вказану у заяві-приєднання до умов договору,</w:t>
            </w:r>
          </w:p>
          <w:p w14:paraId="1CA3C925" w14:textId="77777777" w:rsidR="00043101" w:rsidRPr="00B8681C" w:rsidRDefault="00043101" w:rsidP="007F4032">
            <w:pPr>
              <w:spacing w:before="100" w:beforeAutospacing="1"/>
              <w:rPr>
                <w:sz w:val="24"/>
                <w:szCs w:val="24"/>
                <w:lang w:val="uk-UA"/>
              </w:rPr>
            </w:pPr>
            <w:r w:rsidRPr="00B8681C">
              <w:rPr>
                <w:sz w:val="24"/>
                <w:szCs w:val="24"/>
                <w:lang w:val="uk-UA"/>
              </w:rPr>
              <w:t>- СМС-повідомленням на номер, зазначений у заяві-приєднання до умов договору,</w:t>
            </w:r>
          </w:p>
          <w:p w14:paraId="52684DBB" w14:textId="77777777" w:rsidR="00043101" w:rsidRPr="00B8681C" w:rsidRDefault="00043101" w:rsidP="007F4032">
            <w:pPr>
              <w:spacing w:before="100" w:beforeAutospacing="1" w:after="100" w:afterAutospacing="1"/>
              <w:rPr>
                <w:sz w:val="24"/>
                <w:szCs w:val="24"/>
                <w:lang w:val="uk-UA"/>
              </w:rPr>
            </w:pPr>
            <w:r w:rsidRPr="00B8681C">
              <w:rPr>
                <w:sz w:val="24"/>
                <w:szCs w:val="24"/>
                <w:lang w:val="uk-UA"/>
              </w:rPr>
              <w:t>та отримувати інформацію в центрах обслуговування споживачів.</w:t>
            </w:r>
          </w:p>
        </w:tc>
      </w:tr>
    </w:tbl>
    <w:p w14:paraId="35338F10" w14:textId="77777777" w:rsidR="00043101" w:rsidRDefault="00043101" w:rsidP="00043101">
      <w:pPr>
        <w:spacing w:before="100" w:beforeAutospacing="1" w:after="198"/>
        <w:ind w:firstLine="7797"/>
        <w:rPr>
          <w:sz w:val="24"/>
          <w:szCs w:val="24"/>
          <w:lang w:val="uk-UA"/>
        </w:rPr>
      </w:pPr>
    </w:p>
    <w:p w14:paraId="160431C1" w14:textId="77777777" w:rsidR="00043101" w:rsidRDefault="00043101" w:rsidP="00043101">
      <w:pPr>
        <w:spacing w:before="100" w:beforeAutospacing="1" w:after="198"/>
        <w:ind w:firstLine="7797"/>
        <w:rPr>
          <w:sz w:val="24"/>
          <w:szCs w:val="24"/>
          <w:lang w:val="uk-UA"/>
        </w:rPr>
      </w:pPr>
    </w:p>
    <w:p w14:paraId="7CD61DAE" w14:textId="77777777" w:rsidR="003D00C2" w:rsidRPr="00043101" w:rsidRDefault="003D00C2" w:rsidP="00043101">
      <w:pPr>
        <w:rPr>
          <w:lang w:val="uk-UA"/>
        </w:rPr>
      </w:pPr>
    </w:p>
    <w:sectPr w:rsidR="003D00C2" w:rsidRPr="000431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0C2"/>
    <w:rsid w:val="00043101"/>
    <w:rsid w:val="003D00C2"/>
    <w:rsid w:val="005D6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847B"/>
  <w15:chartTrackingRefBased/>
  <w15:docId w15:val="{A4F937CC-6A42-4526-B62A-63835EDF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310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7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Наталія Олександрівна</dc:creator>
  <cp:keywords/>
  <dc:description/>
  <cp:lastModifiedBy>Гончарова Наталія Олександрівна</cp:lastModifiedBy>
  <cp:revision>3</cp:revision>
  <dcterms:created xsi:type="dcterms:W3CDTF">2021-03-15T11:03:00Z</dcterms:created>
  <dcterms:modified xsi:type="dcterms:W3CDTF">2021-03-15T11:12:00Z</dcterms:modified>
</cp:coreProperties>
</file>