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1F67C8">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1F67C8">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1F67C8">
      <w:pPr>
        <w:pStyle w:val="Style3"/>
        <w:widowControl/>
        <w:spacing w:line="276" w:lineRule="auto"/>
        <w:ind w:left="725"/>
        <w:rPr>
          <w:rFonts w:ascii="Trebuchet MS" w:hAnsi="Trebuchet MS"/>
          <w:sz w:val="18"/>
          <w:szCs w:val="20"/>
          <w:lang w:val="uk-UA"/>
        </w:rPr>
      </w:pPr>
    </w:p>
    <w:p w:rsidR="00922CB4" w:rsidRPr="006C27C8" w:rsidRDefault="00051422" w:rsidP="001F67C8">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CD2573">
        <w:rPr>
          <w:rStyle w:val="FontStyle11"/>
          <w:rFonts w:ascii="Trebuchet MS" w:hAnsi="Trebuchet MS"/>
          <w:sz w:val="20"/>
          <w:u w:val="single"/>
          <w:lang w:val="uk-UA" w:eastAsia="uk-UA"/>
        </w:rPr>
        <w:t>2</w:t>
      </w:r>
      <w:r w:rsidR="00D031E1" w:rsidRPr="006C27C8">
        <w:rPr>
          <w:rStyle w:val="FontStyle11"/>
          <w:rFonts w:ascii="Trebuchet MS" w:hAnsi="Trebuchet MS"/>
          <w:sz w:val="20"/>
          <w:u w:val="single"/>
          <w:lang w:val="uk-UA" w:eastAsia="uk-UA"/>
        </w:rPr>
        <w:t>ВП</w:t>
      </w:r>
      <w:r w:rsidR="001142EB">
        <w:rPr>
          <w:rStyle w:val="FontStyle11"/>
          <w:rFonts w:ascii="Trebuchet MS" w:hAnsi="Trebuchet MS"/>
          <w:sz w:val="20"/>
          <w:u w:val="single"/>
          <w:lang w:val="uk-UA" w:eastAsia="uk-UA"/>
        </w:rPr>
        <w:t>ф</w:t>
      </w:r>
    </w:p>
    <w:p w:rsidR="00376B29" w:rsidRDefault="00C644F7" w:rsidP="001F67C8">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7C07A4" w:rsidRPr="00641BBF" w:rsidRDefault="007C07A4" w:rsidP="001F67C8">
      <w:pPr>
        <w:pStyle w:val="Style3"/>
        <w:widowControl/>
        <w:spacing w:line="276" w:lineRule="auto"/>
        <w:ind w:left="725"/>
        <w:rPr>
          <w:rStyle w:val="FontStyle11"/>
          <w:rFonts w:ascii="Trebuchet MS" w:hAnsi="Trebuchet MS"/>
          <w:sz w:val="20"/>
          <w:lang w:val="uk-UA" w:eastAsia="uk-UA"/>
        </w:rPr>
      </w:pPr>
    </w:p>
    <w:tbl>
      <w:tblPr>
        <w:tblW w:w="0" w:type="auto"/>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7C07A4"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815D5C">
        <w:tc>
          <w:tcPr>
            <w:tcW w:w="2410" w:type="dxa"/>
            <w:tcBorders>
              <w:top w:val="single" w:sz="6" w:space="0" w:color="auto"/>
              <w:left w:val="single" w:sz="6" w:space="0" w:color="auto"/>
              <w:bottom w:val="single" w:sz="6" w:space="0" w:color="auto"/>
              <w:right w:val="single" w:sz="6" w:space="0" w:color="auto"/>
            </w:tcBorders>
          </w:tcPr>
          <w:p w:rsidR="00CE5101" w:rsidRPr="006C27C8"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72" w:type="dxa"/>
            <w:tcBorders>
              <w:top w:val="single" w:sz="6" w:space="0" w:color="auto"/>
              <w:left w:val="single" w:sz="6" w:space="0" w:color="auto"/>
              <w:bottom w:val="single" w:sz="6" w:space="0" w:color="auto"/>
              <w:right w:val="single" w:sz="6" w:space="0" w:color="auto"/>
            </w:tcBorders>
          </w:tcPr>
          <w:p w:rsidR="001142EB" w:rsidRPr="00E57DF1" w:rsidRDefault="001142EB" w:rsidP="00B660D0">
            <w:pPr>
              <w:spacing w:line="276" w:lineRule="auto"/>
              <w:jc w:val="both"/>
              <w:rPr>
                <w:rStyle w:val="FontStyle12"/>
                <w:rFonts w:ascii="Trebuchet MS" w:hAnsi="Trebuchet MS"/>
                <w:sz w:val="20"/>
                <w:szCs w:val="20"/>
                <w:lang w:val="uk-UA" w:eastAsia="uk-UA"/>
              </w:rPr>
            </w:pPr>
            <w:r w:rsidRPr="00E57DF1">
              <w:rPr>
                <w:rStyle w:val="FontStyle12"/>
                <w:rFonts w:ascii="Trebuchet MS" w:hAnsi="Trebuchet MS"/>
                <w:sz w:val="20"/>
                <w:szCs w:val="20"/>
                <w:lang w:val="uk-UA" w:eastAsia="uk-UA"/>
              </w:rPr>
              <w:t>Ціна на електричну енергію за 1 кВт·год на розрахунков</w:t>
            </w:r>
            <w:r w:rsidRPr="005E4DA2">
              <w:rPr>
                <w:rStyle w:val="FontStyle12"/>
                <w:rFonts w:ascii="Trebuchet MS" w:hAnsi="Trebuchet MS"/>
                <w:sz w:val="20"/>
                <w:szCs w:val="20"/>
                <w:lang w:val="uk-UA" w:eastAsia="uk-UA"/>
              </w:rPr>
              <w:t>ий</w:t>
            </w:r>
            <w:r w:rsidRPr="00E57DF1">
              <w:rPr>
                <w:rStyle w:val="FontStyle12"/>
                <w:rFonts w:ascii="Trebuchet MS" w:hAnsi="Trebuchet MS"/>
                <w:sz w:val="20"/>
                <w:szCs w:val="20"/>
                <w:lang w:val="uk-UA" w:eastAsia="uk-UA"/>
              </w:rPr>
              <w:t xml:space="preserve"> періо</w:t>
            </w:r>
            <w:r w:rsidRPr="005E4DA2">
              <w:rPr>
                <w:rStyle w:val="FontStyle12"/>
                <w:rFonts w:ascii="Trebuchet MS" w:hAnsi="Trebuchet MS"/>
                <w:sz w:val="20"/>
                <w:szCs w:val="20"/>
                <w:lang w:val="uk-UA" w:eastAsia="uk-UA"/>
              </w:rPr>
              <w:t>д</w:t>
            </w:r>
            <w:r w:rsidRPr="00E57DF1">
              <w:rPr>
                <w:rStyle w:val="FontStyle12"/>
                <w:rFonts w:ascii="Trebuchet MS" w:hAnsi="Trebuchet MS"/>
                <w:sz w:val="20"/>
                <w:szCs w:val="20"/>
                <w:lang w:val="uk-UA" w:eastAsia="uk-UA"/>
              </w:rPr>
              <w:t xml:space="preserve"> становить </w:t>
            </w:r>
            <w:r w:rsidR="00BF31E0">
              <w:rPr>
                <w:rStyle w:val="FontStyle12"/>
                <w:rFonts w:ascii="Trebuchet MS" w:hAnsi="Trebuchet MS"/>
                <w:b/>
                <w:sz w:val="20"/>
                <w:szCs w:val="20"/>
                <w:lang w:val="uk-UA" w:eastAsia="uk-UA"/>
              </w:rPr>
              <w:t>26,10</w:t>
            </w:r>
            <w:r w:rsidRPr="005E4DA2">
              <w:rPr>
                <w:rStyle w:val="FontStyle12"/>
                <w:rFonts w:ascii="Trebuchet MS" w:hAnsi="Trebuchet MS"/>
                <w:b/>
                <w:sz w:val="20"/>
                <w:szCs w:val="20"/>
                <w:lang w:val="uk-UA" w:eastAsia="uk-UA"/>
              </w:rPr>
              <w:t xml:space="preserve"> грн</w:t>
            </w:r>
            <w:r w:rsidR="00415F52" w:rsidRPr="005E4DA2">
              <w:rPr>
                <w:rStyle w:val="FontStyle12"/>
                <w:rFonts w:ascii="Trebuchet MS" w:hAnsi="Trebuchet MS"/>
                <w:b/>
                <w:sz w:val="20"/>
                <w:szCs w:val="20"/>
                <w:lang w:val="uk-UA" w:eastAsia="uk-UA"/>
              </w:rPr>
              <w:t xml:space="preserve"> </w:t>
            </w:r>
            <w:r w:rsidRPr="005E4DA2">
              <w:rPr>
                <w:rStyle w:val="FontStyle12"/>
                <w:rFonts w:ascii="Trebuchet MS" w:hAnsi="Trebuchet MS"/>
                <w:b/>
                <w:sz w:val="20"/>
                <w:szCs w:val="20"/>
                <w:lang w:val="uk-UA" w:eastAsia="uk-UA"/>
              </w:rPr>
              <w:t>з ПДВ</w:t>
            </w:r>
            <w:r w:rsidRPr="00E57DF1">
              <w:rPr>
                <w:rStyle w:val="FontStyle12"/>
                <w:rFonts w:ascii="Trebuchet MS" w:hAnsi="Trebuchet MS"/>
                <w:sz w:val="20"/>
                <w:szCs w:val="20"/>
                <w:lang w:val="uk-UA" w:eastAsia="uk-UA"/>
              </w:rPr>
              <w:t xml:space="preserve">, в тому числі ПДВ </w:t>
            </w:r>
            <w:r w:rsidR="00BF31E0">
              <w:rPr>
                <w:rStyle w:val="FontStyle12"/>
                <w:rFonts w:ascii="Trebuchet MS" w:hAnsi="Trebuchet MS"/>
                <w:sz w:val="20"/>
                <w:szCs w:val="20"/>
                <w:lang w:val="uk-UA" w:eastAsia="uk-UA"/>
              </w:rPr>
              <w:t>4,35</w:t>
            </w:r>
            <w:bookmarkStart w:id="0" w:name="_GoBack"/>
            <w:bookmarkEnd w:id="0"/>
            <w:r w:rsidRPr="00E57DF1">
              <w:rPr>
                <w:rStyle w:val="FontStyle12"/>
                <w:rFonts w:ascii="Trebuchet MS" w:hAnsi="Trebuchet MS"/>
                <w:sz w:val="20"/>
                <w:szCs w:val="20"/>
                <w:lang w:val="uk-UA" w:eastAsia="uk-UA"/>
              </w:rPr>
              <w:t xml:space="preserve"> грн., за 1 кВт*год.</w:t>
            </w:r>
            <w:r w:rsidR="00CE5101" w:rsidRPr="00E57DF1">
              <w:rPr>
                <w:rStyle w:val="FontStyle12"/>
                <w:rFonts w:ascii="Trebuchet MS" w:hAnsi="Trebuchet MS"/>
                <w:sz w:val="20"/>
                <w:szCs w:val="20"/>
                <w:lang w:val="uk-UA" w:eastAsia="uk-UA"/>
              </w:rPr>
              <w:tab/>
            </w:r>
          </w:p>
          <w:p w:rsidR="00CE5101" w:rsidRPr="00E57DF1" w:rsidRDefault="00CE5101" w:rsidP="00B660D0">
            <w:pPr>
              <w:spacing w:line="276" w:lineRule="auto"/>
              <w:jc w:val="both"/>
              <w:rPr>
                <w:rStyle w:val="FontStyle12"/>
                <w:rFonts w:ascii="Trebuchet MS" w:hAnsi="Trebuchet MS"/>
                <w:sz w:val="20"/>
                <w:szCs w:val="20"/>
                <w:lang w:val="uk-UA" w:eastAsia="uk-UA"/>
              </w:rPr>
            </w:pPr>
            <w:r w:rsidRPr="00E57DF1">
              <w:rPr>
                <w:rStyle w:val="FontStyle12"/>
                <w:rFonts w:ascii="Trebuchet MS" w:hAnsi="Trebuchet MS"/>
                <w:sz w:val="20"/>
                <w:szCs w:val="20"/>
                <w:lang w:val="uk-UA" w:eastAsia="uk-UA"/>
              </w:rPr>
              <w:t xml:space="preserve">Фактична ціна </w:t>
            </w:r>
            <w:r w:rsidRPr="005E4DA2">
              <w:rPr>
                <w:rStyle w:val="FontStyle12"/>
                <w:rFonts w:ascii="Trebuchet MS" w:hAnsi="Trebuchet MS"/>
                <w:sz w:val="20"/>
                <w:szCs w:val="20"/>
                <w:lang w:val="uk-UA" w:eastAsia="uk-UA"/>
              </w:rPr>
              <w:t xml:space="preserve">Цфакт </w:t>
            </w:r>
            <w:r w:rsidRPr="00E57DF1">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B660D0">
            <w:pPr>
              <w:spacing w:line="276" w:lineRule="auto"/>
              <w:jc w:val="both"/>
              <w:rPr>
                <w:rStyle w:val="FontStyle12"/>
                <w:rFonts w:ascii="Trebuchet MS" w:hAnsi="Trebuchet MS"/>
                <w:sz w:val="20"/>
                <w:szCs w:val="20"/>
                <w:lang w:val="uk-UA" w:eastAsia="uk-UA"/>
              </w:rPr>
            </w:pPr>
          </w:p>
          <w:p w:rsidR="00CE5101" w:rsidRPr="00D32357" w:rsidRDefault="00CE5101" w:rsidP="00B660D0">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Fonts w:ascii="Trebuchet MS" w:eastAsia="Cambria" w:hAnsi="Trebuchet MS" w:cs="Cambria"/>
                <w:b/>
                <w:w w:val="105"/>
                <w:sz w:val="20"/>
                <w:szCs w:val="20"/>
                <w:lang w:val="uk-UA" w:eastAsia="en-US"/>
              </w:rPr>
              <w:t>, де:</w:t>
            </w:r>
          </w:p>
          <w:p w:rsidR="00CE5101" w:rsidRPr="00D32357" w:rsidRDefault="00CE5101" w:rsidP="00B660D0">
            <w:pPr>
              <w:spacing w:line="276" w:lineRule="auto"/>
              <w:jc w:val="center"/>
              <w:rPr>
                <w:rFonts w:ascii="Trebuchet MS" w:eastAsia="Cambria" w:hAnsi="Trebuchet MS" w:cs="Cambria"/>
                <w:b/>
                <w:w w:val="105"/>
                <w:sz w:val="20"/>
                <w:szCs w:val="20"/>
                <w:lang w:val="uk-UA" w:eastAsia="en-US"/>
              </w:rPr>
            </w:pPr>
          </w:p>
          <w:p w:rsidR="00CE5101" w:rsidRPr="00D32357" w:rsidRDefault="00CE5101" w:rsidP="00B660D0">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B660D0">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35</w:t>
            </w:r>
            <w:r w:rsidRPr="00D32357">
              <w:rPr>
                <w:rStyle w:val="FontStyle12"/>
                <w:rFonts w:ascii="Trebuchet MS" w:hAnsi="Trebuchet MS"/>
                <w:sz w:val="20"/>
                <w:szCs w:val="20"/>
                <w:lang w:val="uk-UA" w:eastAsia="uk-UA"/>
              </w:rPr>
              <w:t>.</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ОСР</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 xml:space="preserve">ціна послуг Оператора системи </w:t>
            </w:r>
            <w:r w:rsidRPr="00D32357">
              <w:rPr>
                <w:rStyle w:val="FontStyle12"/>
                <w:rFonts w:ascii="Trebuchet MS" w:hAnsi="Trebuchet MS"/>
                <w:sz w:val="20"/>
                <w:szCs w:val="20"/>
                <w:lang w:val="uk-UA" w:eastAsia="uk-UA"/>
              </w:rPr>
              <w:t>розподілу</w:t>
            </w:r>
            <w:r w:rsidRPr="00D32357">
              <w:rPr>
                <w:rStyle w:val="FontStyle12"/>
                <w:rFonts w:ascii="Trebuchet MS" w:hAnsi="Trebuchet MS"/>
                <w:sz w:val="20"/>
                <w:szCs w:val="20"/>
                <w:lang w:eastAsia="uk-UA"/>
              </w:rPr>
              <w:t xml:space="preserve"> (затверджується постановою НКРЕКП).</w:t>
            </w:r>
          </w:p>
          <w:p w:rsidR="00CE5101" w:rsidRPr="00D32357" w:rsidRDefault="00CE5101" w:rsidP="00B660D0">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Style w:val="FontStyle12"/>
                <w:rFonts w:ascii="Trebuchet MS" w:hAnsi="Trebuchet MS"/>
                <w:sz w:val="20"/>
                <w:szCs w:val="20"/>
                <w:lang w:val="uk-UA" w:eastAsia="uk-UA"/>
              </w:rPr>
              <w:t xml:space="preserve">, де: </w:t>
            </w:r>
          </w:p>
          <w:p w:rsidR="00CE5101" w:rsidRPr="00D32357" w:rsidRDefault="00CE5101" w:rsidP="00B660D0">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B660D0">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Default="00EA6F88" w:rsidP="00B660D0">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p w:rsidR="007C07A4" w:rsidRPr="00D32357" w:rsidRDefault="007C07A4" w:rsidP="00B660D0">
            <w:pPr>
              <w:pStyle w:val="Style1"/>
              <w:widowControl/>
              <w:tabs>
                <w:tab w:val="left" w:pos="2404"/>
                <w:tab w:val="left" w:pos="7960"/>
              </w:tabs>
              <w:spacing w:line="276" w:lineRule="auto"/>
              <w:rPr>
                <w:rStyle w:val="FontStyle12"/>
                <w:rFonts w:ascii="Trebuchet MS" w:hAnsi="Trebuchet MS"/>
                <w:sz w:val="20"/>
                <w:lang w:val="uk-UA" w:eastAsia="uk-UA"/>
              </w:rPr>
            </w:pPr>
          </w:p>
        </w:tc>
      </w:tr>
      <w:tr w:rsidR="00F422F6" w:rsidRPr="006C27C8"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7C07A4">
            <w:pPr>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1F67C8">
            <w:pPr>
              <w:pStyle w:val="Style1"/>
              <w:widowControl/>
              <w:spacing w:line="276" w:lineRule="auto"/>
              <w:ind w:firstLine="5"/>
              <w:rPr>
                <w:rStyle w:val="FontStyle12"/>
                <w:rFonts w:ascii="Trebuchet MS" w:hAnsi="Trebuchet MS"/>
                <w:sz w:val="20"/>
                <w:lang w:val="uk-UA" w:eastAsia="uk-UA"/>
              </w:rPr>
            </w:pPr>
          </w:p>
        </w:tc>
      </w:tr>
      <w:tr w:rsidR="00F422F6" w:rsidRPr="00BF31E0"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Оплата електричної енергії здійснюється Споживачем у формі попередньої </w:t>
            </w:r>
            <w:r w:rsidRPr="000A26D4">
              <w:rPr>
                <w:rFonts w:ascii="Trebuchet MS" w:hAnsi="Trebuchet MS"/>
                <w:sz w:val="20"/>
                <w:szCs w:val="20"/>
                <w:lang w:val="uk-UA" w:eastAsia="uk-UA"/>
              </w:rPr>
              <w:lastRenderedPageBreak/>
              <w:t>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Попередня оплата здійснюється за графіком:</w:t>
            </w:r>
          </w:p>
          <w:p w:rsidR="009D2B64" w:rsidRPr="00E80423" w:rsidRDefault="009D2B64" w:rsidP="00B660D0">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10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9D2B64" w:rsidRPr="00E80423" w:rsidRDefault="009D2B64" w:rsidP="00B660D0">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20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0A26D4" w:rsidRPr="000A26D4" w:rsidRDefault="000A26D4" w:rsidP="00B660D0">
            <w:pPr>
              <w:pStyle w:val="Style1"/>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Сума переплати/недоплати Споживача, яка виникла в наслідок різниці між </w:t>
            </w:r>
            <w:r w:rsidRPr="000A26D4">
              <w:rPr>
                <w:rFonts w:ascii="Trebuchet MS" w:hAnsi="Trebuchet MS"/>
                <w:b/>
                <w:sz w:val="20"/>
                <w:szCs w:val="20"/>
                <w:lang w:val="uk-UA" w:eastAsia="uk-UA"/>
              </w:rPr>
              <w:t>Ц</w:t>
            </w:r>
            <w:r w:rsidRPr="000A26D4">
              <w:rPr>
                <w:rFonts w:ascii="Trebuchet MS" w:hAnsi="Trebuchet MS"/>
                <w:sz w:val="20"/>
                <w:szCs w:val="20"/>
                <w:lang w:val="uk-UA" w:eastAsia="uk-UA"/>
              </w:rPr>
              <w:t xml:space="preserve"> та </w:t>
            </w:r>
            <w:r w:rsidRPr="000A26D4">
              <w:rPr>
                <w:rFonts w:ascii="Trebuchet MS" w:hAnsi="Trebuchet MS"/>
                <w:b/>
                <w:sz w:val="20"/>
                <w:szCs w:val="20"/>
                <w:lang w:val="uk-UA" w:eastAsia="uk-UA"/>
              </w:rPr>
              <w:t>Ц</w:t>
            </w:r>
            <w:r w:rsidRPr="000A26D4">
              <w:rPr>
                <w:rFonts w:ascii="Trebuchet MS" w:hAnsi="Trebuchet MS"/>
                <w:b/>
                <w:sz w:val="20"/>
                <w:szCs w:val="20"/>
                <w:vertAlign w:val="subscript"/>
                <w:lang w:val="uk-UA" w:eastAsia="uk-UA"/>
              </w:rPr>
              <w:t>факт,</w:t>
            </w:r>
            <w:r w:rsidRPr="000A26D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7C07A4" w:rsidRPr="00B660D0" w:rsidRDefault="000A26D4" w:rsidP="00B660D0">
            <w:pPr>
              <w:pStyle w:val="Style1"/>
              <w:widowControl/>
              <w:spacing w:line="276" w:lineRule="auto"/>
              <w:ind w:firstLine="5"/>
              <w:rPr>
                <w:rStyle w:val="FontStyle12"/>
                <w:rFonts w:ascii="Trebuchet MS" w:hAnsi="Trebuchet MS"/>
                <w:sz w:val="20"/>
                <w:szCs w:val="20"/>
                <w:lang w:val="uk-UA" w:eastAsia="uk-UA"/>
              </w:rPr>
            </w:pPr>
            <w:r w:rsidRPr="000A26D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7C07A4" w:rsidRPr="00B660D0" w:rsidRDefault="004D5803" w:rsidP="00B660D0">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7C07A4" w:rsidRPr="00B660D0" w:rsidRDefault="004D5803" w:rsidP="00B660D0">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B660D0">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BF1BAF">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4D5803" w:rsidRPr="00A900E0" w:rsidRDefault="004D5803" w:rsidP="00B660D0">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4D5803" w:rsidRPr="00BF31E0"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7C07A4" w:rsidRPr="0037365B" w:rsidRDefault="004D5803" w:rsidP="00B660D0">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4D5803" w:rsidRPr="009A3A17"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4D5803" w:rsidRPr="0037365B" w:rsidRDefault="004D5803" w:rsidP="001F67C8">
            <w:pPr>
              <w:pStyle w:val="Style7"/>
              <w:widowControl/>
              <w:spacing w:line="276" w:lineRule="auto"/>
              <w:jc w:val="both"/>
              <w:rPr>
                <w:rStyle w:val="FontStyle12"/>
                <w:rFonts w:ascii="Trebuchet MS" w:hAnsi="Trebuchet MS"/>
                <w:sz w:val="20"/>
                <w:lang w:val="uk-UA" w:eastAsia="uk-UA"/>
              </w:rPr>
            </w:pP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72"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5E0710" w:rsidRDefault="004D5803" w:rsidP="001F67C8">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w:t>
            </w:r>
            <w:r w:rsidRPr="00A92AC7">
              <w:rPr>
                <w:rFonts w:ascii="Trebuchet MS" w:hAnsi="Trebuchet MS"/>
                <w:b/>
                <w:sz w:val="20"/>
                <w:szCs w:val="22"/>
                <w:lang w:val="uk-UA"/>
              </w:rPr>
              <w:lastRenderedPageBreak/>
              <w:t>захищеним споживачам</w:t>
            </w:r>
          </w:p>
        </w:tc>
        <w:tc>
          <w:tcPr>
            <w:tcW w:w="7372" w:type="dxa"/>
            <w:tcBorders>
              <w:top w:val="single" w:sz="6" w:space="0" w:color="auto"/>
              <w:left w:val="single" w:sz="6" w:space="0" w:color="auto"/>
              <w:bottom w:val="single" w:sz="6" w:space="0" w:color="auto"/>
              <w:right w:val="single" w:sz="6" w:space="0" w:color="auto"/>
            </w:tcBorders>
          </w:tcPr>
          <w:p w:rsidR="004D5803" w:rsidRPr="005E0710" w:rsidRDefault="004D5803" w:rsidP="00B660D0">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lastRenderedPageBreak/>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A92AC7">
              <w:rPr>
                <w:rFonts w:ascii="Trebuchet MS" w:hAnsi="Trebuchet MS"/>
                <w:sz w:val="20"/>
                <w:szCs w:val="22"/>
              </w:rPr>
              <w:lastRenderedPageBreak/>
              <w:t>затвердженого Постановою Кабінету Міністрів України від 27.12.2018 №1209 зі змінами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372" w:type="dxa"/>
            <w:tcBorders>
              <w:top w:val="single" w:sz="6" w:space="0" w:color="auto"/>
              <w:left w:val="single" w:sz="6" w:space="0" w:color="auto"/>
              <w:bottom w:val="single" w:sz="6" w:space="0" w:color="auto"/>
              <w:right w:val="single" w:sz="6" w:space="0" w:color="auto"/>
            </w:tcBorders>
          </w:tcPr>
          <w:p w:rsidR="004D5803" w:rsidRPr="00A900E0" w:rsidRDefault="004D5803" w:rsidP="00B660D0">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B660D0">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CD2573">
              <w:rPr>
                <w:rStyle w:val="FontStyle11"/>
                <w:rFonts w:ascii="Trebuchet MS" w:hAnsi="Trebuchet MS"/>
                <w:sz w:val="20"/>
                <w:u w:val="single"/>
                <w:lang w:val="uk-UA" w:eastAsia="uk-UA"/>
              </w:rPr>
              <w:t>2</w:t>
            </w:r>
            <w:r w:rsidRPr="006C27C8">
              <w:rPr>
                <w:rStyle w:val="FontStyle11"/>
                <w:rFonts w:ascii="Trebuchet MS" w:hAnsi="Trebuchet MS"/>
                <w:sz w:val="20"/>
                <w:u w:val="single"/>
                <w:lang w:val="uk-UA" w:eastAsia="uk-UA"/>
              </w:rPr>
              <w:t>ВП</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4D5803" w:rsidRPr="00A92AC7" w:rsidRDefault="004D5803" w:rsidP="00B660D0">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7C07A4">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4D5803" w:rsidRPr="00A92AC7" w:rsidRDefault="004D5803" w:rsidP="00B660D0">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4D5803" w:rsidRPr="00A92AC7" w:rsidRDefault="004D5803" w:rsidP="00B660D0">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7C07A4" w:rsidRPr="00B660D0" w:rsidRDefault="004D5803" w:rsidP="00B660D0">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6C27C8" w:rsidRDefault="00357BB5" w:rsidP="001F67C8">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72" w:type="dxa"/>
            <w:tcBorders>
              <w:top w:val="single" w:sz="6" w:space="0" w:color="auto"/>
              <w:left w:val="single" w:sz="6" w:space="0" w:color="auto"/>
              <w:bottom w:val="single" w:sz="6" w:space="0" w:color="auto"/>
              <w:right w:val="single" w:sz="6" w:space="0" w:color="auto"/>
            </w:tcBorders>
          </w:tcPr>
          <w:p w:rsidR="007C07A4" w:rsidRPr="00B660D0" w:rsidRDefault="004D5803" w:rsidP="00B660D0">
            <w:pPr>
              <w:pStyle w:val="Style7"/>
              <w:widowControl/>
              <w:spacing w:line="276" w:lineRule="auto"/>
              <w:ind w:left="10" w:hanging="10"/>
              <w:jc w:val="both"/>
              <w:rPr>
                <w:rStyle w:val="FontStyle12"/>
                <w:rFonts w:ascii="Trebuchet MS" w:hAnsi="Trebuchet MS"/>
                <w:sz w:val="20"/>
                <w:lang w:eastAsia="uk-UA"/>
              </w:rPr>
            </w:pPr>
            <w:r w:rsidRPr="006C27C8">
              <w:rPr>
                <w:rStyle w:val="FontStyle12"/>
                <w:rFonts w:ascii="Trebuchet MS" w:hAnsi="Trebuchet MS"/>
                <w:b/>
                <w:sz w:val="20"/>
                <w:u w:val="single"/>
                <w:lang w:eastAsia="uk-UA"/>
              </w:rPr>
              <w:t>Послуги з розподілу сплачуються Споживачем через Постачальника</w:t>
            </w:r>
            <w:r w:rsidRPr="006C27C8">
              <w:rPr>
                <w:rStyle w:val="FontStyle12"/>
                <w:rFonts w:ascii="Trebuchet MS" w:hAnsi="Trebuchet MS"/>
                <w:sz w:val="20"/>
                <w:lang w:eastAsia="uk-UA"/>
              </w:rPr>
              <w:t xml:space="preserve"> з наступним переведенням цієї оплати Постачальником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4D5803" w:rsidRPr="00A339F1" w:rsidTr="00815D5C">
        <w:tc>
          <w:tcPr>
            <w:tcW w:w="2410" w:type="dxa"/>
            <w:tcBorders>
              <w:top w:val="single" w:sz="6" w:space="0" w:color="auto"/>
              <w:left w:val="single" w:sz="6" w:space="0" w:color="auto"/>
              <w:bottom w:val="single" w:sz="6" w:space="0" w:color="auto"/>
              <w:right w:val="single" w:sz="6" w:space="0" w:color="auto"/>
            </w:tcBorders>
          </w:tcPr>
          <w:p w:rsidR="004D5803" w:rsidRPr="00117BF7" w:rsidRDefault="004D5803" w:rsidP="001F67C8">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7C07A4" w:rsidRPr="007C07A4" w:rsidRDefault="007C07A4" w:rsidP="00B660D0">
            <w:pPr>
              <w:spacing w:line="276" w:lineRule="auto"/>
              <w:jc w:val="both"/>
              <w:textAlignment w:val="baseline"/>
              <w:rPr>
                <w:rStyle w:val="FontStyle12"/>
                <w:rFonts w:ascii="Trebuchet MS" w:hAnsi="Trebuchet MS"/>
                <w:sz w:val="20"/>
                <w:lang w:val="uk-UA" w:eastAsia="uk-UA"/>
              </w:rPr>
            </w:pPr>
            <w:r w:rsidRPr="007C07A4">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7C07A4" w:rsidRPr="00B660D0" w:rsidRDefault="004D5803" w:rsidP="00B660D0">
            <w:pPr>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4D5803" w:rsidRPr="00A339F1" w:rsidTr="00815D5C">
        <w:tc>
          <w:tcPr>
            <w:tcW w:w="2410" w:type="dxa"/>
            <w:tcBorders>
              <w:top w:val="single" w:sz="6" w:space="0" w:color="auto"/>
              <w:left w:val="single" w:sz="6" w:space="0" w:color="auto"/>
              <w:bottom w:val="single" w:sz="6" w:space="0" w:color="auto"/>
              <w:right w:val="single" w:sz="6" w:space="0" w:color="auto"/>
            </w:tcBorders>
          </w:tcPr>
          <w:p w:rsidR="004D5803" w:rsidRPr="00240651" w:rsidRDefault="004D5803" w:rsidP="001F67C8">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B660D0">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7C07A4">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4D5803" w:rsidRPr="00240651" w:rsidRDefault="004D5803" w:rsidP="00B660D0">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1F67C8" w:rsidRPr="001F67C8" w:rsidRDefault="001F67C8" w:rsidP="001F67C8">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1F67C8" w:rsidRPr="001F67C8" w:rsidTr="003634C8">
        <w:tc>
          <w:tcPr>
            <w:tcW w:w="4943" w:type="dxa"/>
          </w:tcPr>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rPr>
              <w:t>Постачальник:</w:t>
            </w:r>
          </w:p>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rPr>
              <w:t>ТОВ «ЕНЕРА СУМИ»</w:t>
            </w:r>
          </w:p>
        </w:tc>
        <w:tc>
          <w:tcPr>
            <w:tcW w:w="4910" w:type="dxa"/>
          </w:tcPr>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lang w:val="uk-UA"/>
              </w:rPr>
              <w:t>Споживач:</w:t>
            </w:r>
          </w:p>
        </w:tc>
      </w:tr>
    </w:tbl>
    <w:p w:rsidR="003C2EE9" w:rsidRPr="006C27C8" w:rsidRDefault="003C2EE9" w:rsidP="001F67C8">
      <w:pPr>
        <w:tabs>
          <w:tab w:val="left" w:pos="1695"/>
        </w:tabs>
        <w:spacing w:line="276" w:lineRule="auto"/>
        <w:rPr>
          <w:rFonts w:ascii="Trebuchet MS" w:hAnsi="Trebuchet MS"/>
          <w:sz w:val="20"/>
          <w:szCs w:val="20"/>
          <w:lang w:val="uk-UA"/>
        </w:rPr>
      </w:pPr>
    </w:p>
    <w:sectPr w:rsidR="003C2EE9" w:rsidRPr="006C27C8" w:rsidSect="005E2657">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51422"/>
    <w:rsid w:val="00057C40"/>
    <w:rsid w:val="000618E2"/>
    <w:rsid w:val="00085343"/>
    <w:rsid w:val="000A26D4"/>
    <w:rsid w:val="000B0AAE"/>
    <w:rsid w:val="000D1AB2"/>
    <w:rsid w:val="000D7484"/>
    <w:rsid w:val="000E3AE8"/>
    <w:rsid w:val="000E585D"/>
    <w:rsid w:val="001142EB"/>
    <w:rsid w:val="00117262"/>
    <w:rsid w:val="001237E6"/>
    <w:rsid w:val="001A4A64"/>
    <w:rsid w:val="001B1F27"/>
    <w:rsid w:val="001C6FA8"/>
    <w:rsid w:val="001E09C2"/>
    <w:rsid w:val="001E0CC7"/>
    <w:rsid w:val="001F67C8"/>
    <w:rsid w:val="001F6B44"/>
    <w:rsid w:val="00206469"/>
    <w:rsid w:val="00210F51"/>
    <w:rsid w:val="0021169A"/>
    <w:rsid w:val="00231EDC"/>
    <w:rsid w:val="00261543"/>
    <w:rsid w:val="00266475"/>
    <w:rsid w:val="002A4D25"/>
    <w:rsid w:val="002C0E83"/>
    <w:rsid w:val="002C5AE7"/>
    <w:rsid w:val="002E2306"/>
    <w:rsid w:val="002E4C52"/>
    <w:rsid w:val="002F241A"/>
    <w:rsid w:val="00357BB5"/>
    <w:rsid w:val="00357DD1"/>
    <w:rsid w:val="00376B29"/>
    <w:rsid w:val="003C2EE9"/>
    <w:rsid w:val="003D3EE8"/>
    <w:rsid w:val="003F54D0"/>
    <w:rsid w:val="004001F1"/>
    <w:rsid w:val="0040027A"/>
    <w:rsid w:val="004110E2"/>
    <w:rsid w:val="00415F52"/>
    <w:rsid w:val="00430B77"/>
    <w:rsid w:val="00435AD5"/>
    <w:rsid w:val="00437233"/>
    <w:rsid w:val="00445386"/>
    <w:rsid w:val="004509C3"/>
    <w:rsid w:val="00455D7A"/>
    <w:rsid w:val="004724CD"/>
    <w:rsid w:val="00490374"/>
    <w:rsid w:val="004A3194"/>
    <w:rsid w:val="004B56DF"/>
    <w:rsid w:val="004D5803"/>
    <w:rsid w:val="004E1299"/>
    <w:rsid w:val="004E2DBE"/>
    <w:rsid w:val="00554D46"/>
    <w:rsid w:val="00561C17"/>
    <w:rsid w:val="00596AFA"/>
    <w:rsid w:val="00596E23"/>
    <w:rsid w:val="005B02E3"/>
    <w:rsid w:val="005E2657"/>
    <w:rsid w:val="005E4DA2"/>
    <w:rsid w:val="005E5EA7"/>
    <w:rsid w:val="00605A34"/>
    <w:rsid w:val="0060782C"/>
    <w:rsid w:val="00617B52"/>
    <w:rsid w:val="00621565"/>
    <w:rsid w:val="00637113"/>
    <w:rsid w:val="00641BBF"/>
    <w:rsid w:val="00650733"/>
    <w:rsid w:val="00665A26"/>
    <w:rsid w:val="006906DC"/>
    <w:rsid w:val="00695F45"/>
    <w:rsid w:val="00696063"/>
    <w:rsid w:val="006C27C8"/>
    <w:rsid w:val="006C67B1"/>
    <w:rsid w:val="0070140E"/>
    <w:rsid w:val="00704083"/>
    <w:rsid w:val="007228B8"/>
    <w:rsid w:val="007400C7"/>
    <w:rsid w:val="00747772"/>
    <w:rsid w:val="007802E6"/>
    <w:rsid w:val="00790C26"/>
    <w:rsid w:val="007A2DC0"/>
    <w:rsid w:val="007A5226"/>
    <w:rsid w:val="007C002D"/>
    <w:rsid w:val="007C07A4"/>
    <w:rsid w:val="007C65C1"/>
    <w:rsid w:val="007D1543"/>
    <w:rsid w:val="007E68E4"/>
    <w:rsid w:val="007F1094"/>
    <w:rsid w:val="007F648F"/>
    <w:rsid w:val="00800C8C"/>
    <w:rsid w:val="00812853"/>
    <w:rsid w:val="00815D5C"/>
    <w:rsid w:val="00820AEF"/>
    <w:rsid w:val="00831ECE"/>
    <w:rsid w:val="00835E4A"/>
    <w:rsid w:val="00836978"/>
    <w:rsid w:val="0085577A"/>
    <w:rsid w:val="008630F0"/>
    <w:rsid w:val="008850B7"/>
    <w:rsid w:val="00893132"/>
    <w:rsid w:val="0089726B"/>
    <w:rsid w:val="008C5880"/>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A3A17"/>
    <w:rsid w:val="009C3D28"/>
    <w:rsid w:val="009D2B64"/>
    <w:rsid w:val="009D7CF8"/>
    <w:rsid w:val="009F35F0"/>
    <w:rsid w:val="00A00D27"/>
    <w:rsid w:val="00A00D4E"/>
    <w:rsid w:val="00A074FA"/>
    <w:rsid w:val="00A1108D"/>
    <w:rsid w:val="00A25823"/>
    <w:rsid w:val="00A3090F"/>
    <w:rsid w:val="00A339F1"/>
    <w:rsid w:val="00A42208"/>
    <w:rsid w:val="00A52B0C"/>
    <w:rsid w:val="00A8688E"/>
    <w:rsid w:val="00AA1AA2"/>
    <w:rsid w:val="00AA4BAA"/>
    <w:rsid w:val="00AB7D9C"/>
    <w:rsid w:val="00B15D7D"/>
    <w:rsid w:val="00B22E0A"/>
    <w:rsid w:val="00B3246F"/>
    <w:rsid w:val="00B660D0"/>
    <w:rsid w:val="00B67869"/>
    <w:rsid w:val="00B90F73"/>
    <w:rsid w:val="00B96412"/>
    <w:rsid w:val="00BA0876"/>
    <w:rsid w:val="00BB3C41"/>
    <w:rsid w:val="00BB4971"/>
    <w:rsid w:val="00BC4761"/>
    <w:rsid w:val="00BD69C8"/>
    <w:rsid w:val="00BE1AF6"/>
    <w:rsid w:val="00BE6730"/>
    <w:rsid w:val="00BF1BAF"/>
    <w:rsid w:val="00BF31E0"/>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D2573"/>
    <w:rsid w:val="00CE5101"/>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36C9C"/>
    <w:rsid w:val="00E446CF"/>
    <w:rsid w:val="00E45F33"/>
    <w:rsid w:val="00E57DF1"/>
    <w:rsid w:val="00E75B2A"/>
    <w:rsid w:val="00E778B7"/>
    <w:rsid w:val="00E83B96"/>
    <w:rsid w:val="00EA6F88"/>
    <w:rsid w:val="00EA7027"/>
    <w:rsid w:val="00EB0A45"/>
    <w:rsid w:val="00EE777C"/>
    <w:rsid w:val="00EF4E12"/>
    <w:rsid w:val="00F10E49"/>
    <w:rsid w:val="00F247D1"/>
    <w:rsid w:val="00F36DD8"/>
    <w:rsid w:val="00F422F6"/>
    <w:rsid w:val="00F56DE1"/>
    <w:rsid w:val="00F7754F"/>
    <w:rsid w:val="00F81DD3"/>
    <w:rsid w:val="00F8552D"/>
    <w:rsid w:val="00FB15FA"/>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887200-4A74-4A53-AA9F-5394B6DD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FB15FA"/>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FB15FA"/>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295021462">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98F8-6ADC-44DD-8328-4534F8B8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1648</Words>
  <Characters>9396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Богдан Морофиянец</dc:creator>
  <cp:lastModifiedBy>Гончарова Ганна Вадимівна</cp:lastModifiedBy>
  <cp:revision>27</cp:revision>
  <cp:lastPrinted>2019-05-22T10:15:00Z</cp:lastPrinted>
  <dcterms:created xsi:type="dcterms:W3CDTF">2022-05-05T10:02:00Z</dcterms:created>
  <dcterms:modified xsi:type="dcterms:W3CDTF">2026-01-23T11:24:00Z</dcterms:modified>
</cp:coreProperties>
</file>