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B29" w:rsidRPr="003A523D" w:rsidRDefault="00B3246F" w:rsidP="001A23EE">
      <w:pPr>
        <w:pStyle w:val="Style2"/>
        <w:widowControl/>
        <w:spacing w:line="276" w:lineRule="auto"/>
        <w:ind w:left="6374"/>
        <w:rPr>
          <w:rStyle w:val="FontStyle12"/>
          <w:rFonts w:ascii="Trebuchet MS" w:hAnsi="Trebuchet MS"/>
          <w:sz w:val="20"/>
          <w:lang w:val="uk-UA" w:eastAsia="uk-UA"/>
        </w:rPr>
      </w:pPr>
      <w:r w:rsidRPr="003A523D">
        <w:rPr>
          <w:rStyle w:val="FontStyle12"/>
          <w:rFonts w:ascii="Trebuchet MS" w:hAnsi="Trebuchet MS"/>
          <w:sz w:val="20"/>
          <w:lang w:val="uk-UA" w:eastAsia="uk-UA"/>
        </w:rPr>
        <w:t>Додаток № 2</w:t>
      </w:r>
    </w:p>
    <w:p w:rsidR="00376B29" w:rsidRPr="003A523D" w:rsidRDefault="00B3246F" w:rsidP="001A23EE">
      <w:pPr>
        <w:pStyle w:val="Style2"/>
        <w:widowControl/>
        <w:spacing w:line="276" w:lineRule="auto"/>
        <w:ind w:left="6379"/>
        <w:rPr>
          <w:rStyle w:val="FontStyle12"/>
          <w:rFonts w:ascii="Trebuchet MS" w:hAnsi="Trebuchet MS"/>
          <w:sz w:val="20"/>
          <w:lang w:val="uk-UA" w:eastAsia="uk-UA"/>
        </w:rPr>
      </w:pPr>
      <w:r w:rsidRPr="003A523D">
        <w:rPr>
          <w:rStyle w:val="FontStyle12"/>
          <w:rFonts w:ascii="Trebuchet MS" w:hAnsi="Trebuchet MS"/>
          <w:sz w:val="20"/>
          <w:lang w:val="uk-UA" w:eastAsia="uk-UA"/>
        </w:rPr>
        <w:t>до Договору про постачання електричної енергії споживачу</w:t>
      </w:r>
    </w:p>
    <w:p w:rsidR="00376B29" w:rsidRPr="003A523D" w:rsidRDefault="00376B29" w:rsidP="001A23EE">
      <w:pPr>
        <w:pStyle w:val="Style3"/>
        <w:widowControl/>
        <w:spacing w:line="276" w:lineRule="auto"/>
        <w:ind w:left="725"/>
        <w:rPr>
          <w:rFonts w:ascii="Trebuchet MS" w:hAnsi="Trebuchet MS"/>
          <w:sz w:val="18"/>
          <w:szCs w:val="20"/>
          <w:lang w:val="uk-UA"/>
        </w:rPr>
      </w:pPr>
    </w:p>
    <w:p w:rsidR="00553813" w:rsidRPr="003A523D" w:rsidRDefault="00553813" w:rsidP="001A23EE">
      <w:pPr>
        <w:pStyle w:val="Style3"/>
        <w:widowControl/>
        <w:spacing w:line="276" w:lineRule="auto"/>
        <w:ind w:left="725"/>
        <w:rPr>
          <w:rFonts w:ascii="Trebuchet MS" w:hAnsi="Trebuchet MS"/>
          <w:sz w:val="18"/>
          <w:szCs w:val="20"/>
          <w:lang w:val="uk-UA"/>
        </w:rPr>
      </w:pPr>
    </w:p>
    <w:p w:rsidR="00922CB4" w:rsidRPr="003A523D" w:rsidRDefault="00051422" w:rsidP="001A23EE">
      <w:pPr>
        <w:pStyle w:val="Style3"/>
        <w:widowControl/>
        <w:spacing w:line="276" w:lineRule="auto"/>
        <w:ind w:left="725"/>
        <w:rPr>
          <w:rStyle w:val="FontStyle11"/>
          <w:rFonts w:ascii="Trebuchet MS" w:hAnsi="Trebuchet MS"/>
          <w:sz w:val="20"/>
          <w:u w:val="single"/>
          <w:lang w:val="uk-UA" w:eastAsia="uk-UA"/>
        </w:rPr>
      </w:pPr>
      <w:r w:rsidRPr="003A523D">
        <w:rPr>
          <w:rStyle w:val="FontStyle11"/>
          <w:rFonts w:ascii="Trebuchet MS" w:hAnsi="Trebuchet MS"/>
          <w:sz w:val="20"/>
          <w:lang w:val="uk-UA" w:eastAsia="uk-UA"/>
        </w:rPr>
        <w:t>Комерційна пропозиція</w:t>
      </w:r>
      <w:r w:rsidR="00B3246F" w:rsidRPr="003A523D">
        <w:rPr>
          <w:rStyle w:val="FontStyle11"/>
          <w:rFonts w:ascii="Trebuchet MS" w:hAnsi="Trebuchet MS"/>
          <w:sz w:val="20"/>
          <w:lang w:val="uk-UA" w:eastAsia="uk-UA"/>
        </w:rPr>
        <w:t xml:space="preserve"> </w:t>
      </w:r>
      <w:r w:rsidR="00C644F7" w:rsidRPr="003A523D">
        <w:rPr>
          <w:rStyle w:val="FontStyle11"/>
          <w:rFonts w:ascii="Trebuchet MS" w:hAnsi="Trebuchet MS"/>
          <w:sz w:val="20"/>
          <w:u w:val="single"/>
          <w:lang w:val="uk-UA" w:eastAsia="uk-UA"/>
        </w:rPr>
        <w:t xml:space="preserve">№ </w:t>
      </w:r>
      <w:r w:rsidR="00D124A8">
        <w:rPr>
          <w:rStyle w:val="FontStyle11"/>
          <w:rFonts w:ascii="Trebuchet MS" w:hAnsi="Trebuchet MS"/>
          <w:sz w:val="20"/>
          <w:u w:val="single"/>
          <w:lang w:val="uk-UA" w:eastAsia="uk-UA"/>
        </w:rPr>
        <w:t>5</w:t>
      </w:r>
      <w:r w:rsidR="00922CB4" w:rsidRPr="003A523D">
        <w:rPr>
          <w:rStyle w:val="FontStyle11"/>
          <w:rFonts w:ascii="Trebuchet MS" w:hAnsi="Trebuchet MS"/>
          <w:sz w:val="20"/>
          <w:u w:val="single"/>
          <w:lang w:val="uk-UA" w:eastAsia="uk-UA"/>
        </w:rPr>
        <w:t>ВС</w:t>
      </w:r>
      <w:r w:rsidR="001C1900" w:rsidRPr="003A523D">
        <w:rPr>
          <w:rStyle w:val="FontStyle11"/>
          <w:rFonts w:ascii="Trebuchet MS" w:hAnsi="Trebuchet MS"/>
          <w:sz w:val="20"/>
          <w:u w:val="single"/>
          <w:lang w:val="uk-UA" w:eastAsia="uk-UA"/>
        </w:rPr>
        <w:t>ф</w:t>
      </w:r>
    </w:p>
    <w:p w:rsidR="00C644F7" w:rsidRPr="003A523D" w:rsidRDefault="00C644F7" w:rsidP="001A23EE">
      <w:pPr>
        <w:pStyle w:val="Style3"/>
        <w:widowControl/>
        <w:spacing w:line="276" w:lineRule="auto"/>
        <w:ind w:left="725"/>
        <w:rPr>
          <w:rStyle w:val="FontStyle11"/>
          <w:rFonts w:ascii="Trebuchet MS" w:hAnsi="Trebuchet MS"/>
          <w:sz w:val="20"/>
          <w:lang w:val="uk-UA" w:eastAsia="uk-UA"/>
        </w:rPr>
      </w:pPr>
      <w:r w:rsidRPr="003A523D">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w:t>
      </w:r>
      <w:r w:rsidR="00AD7F98" w:rsidRPr="003A523D">
        <w:rPr>
          <w:rStyle w:val="FontStyle11"/>
          <w:rFonts w:ascii="Trebuchet MS" w:hAnsi="Trebuchet MS"/>
          <w:sz w:val="20"/>
          <w:lang w:val="uk-UA" w:eastAsia="uk-UA"/>
        </w:rPr>
        <w:t>ачальника універсальної послуги</w:t>
      </w:r>
    </w:p>
    <w:p w:rsidR="00B50A60" w:rsidRDefault="0076188B" w:rsidP="001A23EE">
      <w:pPr>
        <w:pStyle w:val="Style4"/>
        <w:widowControl/>
        <w:spacing w:line="276" w:lineRule="auto"/>
        <w:jc w:val="center"/>
        <w:rPr>
          <w:rStyle w:val="FontStyle11"/>
          <w:rFonts w:ascii="Trebuchet MS" w:hAnsi="Trebuchet MS" w:cstheme="minorHAnsi"/>
          <w:sz w:val="20"/>
          <w:szCs w:val="20"/>
          <w:lang w:val="uk-UA" w:eastAsia="uk-UA"/>
        </w:rPr>
      </w:pPr>
      <w:r w:rsidRPr="0076188B">
        <w:rPr>
          <w:rStyle w:val="FontStyle11"/>
          <w:rFonts w:ascii="Trebuchet MS" w:hAnsi="Trebuchet MS" w:cstheme="minorHAnsi"/>
          <w:sz w:val="20"/>
          <w:szCs w:val="20"/>
          <w:lang w:val="uk-UA" w:eastAsia="uk-UA"/>
        </w:rPr>
        <w:t>(</w:t>
      </w:r>
      <w:r w:rsidRPr="0076188B">
        <w:rPr>
          <w:rFonts w:ascii="Trebuchet MS" w:hAnsi="Trebuchet MS" w:cstheme="minorHAnsi"/>
          <w:sz w:val="20"/>
          <w:szCs w:val="20"/>
          <w:lang w:val="uk-UA" w:eastAsia="uk-UA"/>
        </w:rPr>
        <w:t>Оплата по факту, послуги з розподілу сплачуються Споживачем самостійно</w:t>
      </w:r>
      <w:r w:rsidRPr="0076188B">
        <w:rPr>
          <w:rStyle w:val="FontStyle11"/>
          <w:rFonts w:ascii="Trebuchet MS" w:hAnsi="Trebuchet MS" w:cstheme="minorHAnsi"/>
          <w:sz w:val="20"/>
          <w:szCs w:val="20"/>
          <w:lang w:val="uk-UA" w:eastAsia="uk-UA"/>
        </w:rPr>
        <w:t>)</w:t>
      </w:r>
    </w:p>
    <w:p w:rsidR="0076188B" w:rsidRPr="0076188B" w:rsidRDefault="0076188B" w:rsidP="001A23EE">
      <w:pPr>
        <w:pStyle w:val="Style4"/>
        <w:widowControl/>
        <w:spacing w:line="276" w:lineRule="auto"/>
        <w:jc w:val="center"/>
        <w:rPr>
          <w:rStyle w:val="FontStyle11"/>
          <w:rFonts w:ascii="Trebuchet MS" w:hAnsi="Trebuchet MS" w:cstheme="minorHAnsi"/>
          <w:sz w:val="20"/>
          <w:szCs w:val="20"/>
          <w:lang w:val="uk-UA" w:eastAsia="uk-UA"/>
        </w:rPr>
      </w:pPr>
    </w:p>
    <w:tbl>
      <w:tblPr>
        <w:tblW w:w="9863" w:type="dxa"/>
        <w:tblInd w:w="-184" w:type="dxa"/>
        <w:tblLayout w:type="fixed"/>
        <w:tblCellMar>
          <w:left w:w="40" w:type="dxa"/>
          <w:right w:w="40" w:type="dxa"/>
        </w:tblCellMar>
        <w:tblLook w:val="0000" w:firstRow="0" w:lastRow="0" w:firstColumn="0" w:lastColumn="0" w:noHBand="0" w:noVBand="0"/>
      </w:tblPr>
      <w:tblGrid>
        <w:gridCol w:w="2554"/>
        <w:gridCol w:w="7309"/>
      </w:tblGrid>
      <w:tr w:rsidR="00F422F6" w:rsidRPr="003A523D" w:rsidTr="00435544">
        <w:tc>
          <w:tcPr>
            <w:tcW w:w="2554" w:type="dxa"/>
            <w:tcBorders>
              <w:top w:val="single" w:sz="6" w:space="0" w:color="auto"/>
              <w:left w:val="single" w:sz="6" w:space="0" w:color="auto"/>
              <w:bottom w:val="single" w:sz="6" w:space="0" w:color="auto"/>
              <w:right w:val="single" w:sz="6" w:space="0" w:color="auto"/>
            </w:tcBorders>
          </w:tcPr>
          <w:p w:rsidR="00F422F6" w:rsidRPr="003A523D" w:rsidRDefault="00F422F6" w:rsidP="001A23EE">
            <w:pPr>
              <w:pStyle w:val="Style5"/>
              <w:widowControl/>
              <w:spacing w:line="276" w:lineRule="auto"/>
              <w:rPr>
                <w:rStyle w:val="FontStyle11"/>
                <w:rFonts w:ascii="Trebuchet MS" w:hAnsi="Trebuchet MS"/>
                <w:sz w:val="20"/>
                <w:lang w:val="uk-UA" w:eastAsia="uk-UA"/>
              </w:rPr>
            </w:pPr>
            <w:r w:rsidRPr="003A523D">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309" w:type="dxa"/>
            <w:tcBorders>
              <w:top w:val="single" w:sz="6" w:space="0" w:color="auto"/>
              <w:left w:val="single" w:sz="6" w:space="0" w:color="auto"/>
              <w:bottom w:val="single" w:sz="6" w:space="0" w:color="auto"/>
              <w:right w:val="single" w:sz="6" w:space="0" w:color="auto"/>
            </w:tcBorders>
          </w:tcPr>
          <w:p w:rsidR="00F422F6" w:rsidRPr="003A523D" w:rsidRDefault="00F422F6" w:rsidP="001A23EE">
            <w:pPr>
              <w:pStyle w:val="Style6"/>
              <w:widowControl/>
              <w:tabs>
                <w:tab w:val="left" w:pos="466"/>
              </w:tabs>
              <w:spacing w:line="276"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Pr="003A523D">
              <w:rPr>
                <w:rStyle w:val="FontStyle12"/>
                <w:rFonts w:ascii="Trebuchet MS" w:hAnsi="Trebuchet MS"/>
                <w:sz w:val="20"/>
                <w:lang w:val="uk-UA"/>
              </w:rPr>
              <w:t>особа є власником (користувачем) об'єкта;</w:t>
            </w:r>
          </w:p>
          <w:p w:rsidR="00F422F6" w:rsidRPr="003A523D" w:rsidRDefault="00F422F6" w:rsidP="001A23EE">
            <w:pPr>
              <w:pStyle w:val="Style6"/>
              <w:widowControl/>
              <w:tabs>
                <w:tab w:val="left" w:pos="466"/>
              </w:tabs>
              <w:spacing w:line="276"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006F40EB" w:rsidRPr="003A523D">
              <w:rPr>
                <w:rStyle w:val="FontStyle12"/>
                <w:rFonts w:ascii="Trebuchet MS" w:hAnsi="Trebuchet MS"/>
                <w:sz w:val="20"/>
                <w:lang w:val="uk-UA"/>
              </w:rPr>
              <w:t>наявний облік електричної енергії забезпечує</w:t>
            </w:r>
            <w:r w:rsidRPr="003A523D">
              <w:rPr>
                <w:rStyle w:val="FontStyle12"/>
                <w:rFonts w:ascii="Trebuchet MS" w:hAnsi="Trebuchet MS"/>
                <w:sz w:val="20"/>
                <w:lang w:val="uk-UA"/>
              </w:rPr>
              <w:t xml:space="preserve"> можливість застосування цін (тарифів), передбачених даною комерційною пропозицією;</w:t>
            </w:r>
          </w:p>
          <w:p w:rsidR="00F422F6" w:rsidRPr="003A523D" w:rsidRDefault="00F422F6" w:rsidP="001A23EE">
            <w:pPr>
              <w:pStyle w:val="Style6"/>
              <w:widowControl/>
              <w:tabs>
                <w:tab w:val="left" w:pos="466"/>
              </w:tabs>
              <w:spacing w:line="276" w:lineRule="auto"/>
              <w:jc w:val="both"/>
              <w:rPr>
                <w:rStyle w:val="FontStyle12"/>
                <w:rFonts w:ascii="Trebuchet MS" w:hAnsi="Trebuchet MS"/>
                <w:sz w:val="20"/>
                <w:lang w:val="uk-UA"/>
              </w:rPr>
            </w:pPr>
            <w:r w:rsidRPr="003A523D">
              <w:rPr>
                <w:rStyle w:val="FontStyle12"/>
                <w:rFonts w:ascii="Trebuchet MS" w:hAnsi="Trebuchet MS"/>
                <w:sz w:val="20"/>
                <w:lang w:val="uk-UA"/>
              </w:rPr>
              <w:t>-</w:t>
            </w:r>
            <w:r w:rsidRPr="003A523D">
              <w:rPr>
                <w:rStyle w:val="FontStyle12"/>
                <w:rFonts w:ascii="Trebuchet MS" w:hAnsi="Trebuchet MS"/>
                <w:sz w:val="18"/>
                <w:szCs w:val="20"/>
                <w:lang w:val="uk-UA"/>
              </w:rPr>
              <w:tab/>
            </w:r>
            <w:r w:rsidRPr="003A523D">
              <w:rPr>
                <w:rStyle w:val="FontStyle12"/>
                <w:rFonts w:ascii="Trebuchet MS" w:hAnsi="Trebuchet MS"/>
                <w:sz w:val="20"/>
                <w:lang w:val="uk-UA"/>
              </w:rPr>
              <w:t>споживач приєднався до умов договору споживача про надання послуг з розподілу (передачі) електричної енергії;</w:t>
            </w:r>
          </w:p>
          <w:p w:rsidR="00321F15" w:rsidRPr="003A523D" w:rsidRDefault="00F422F6" w:rsidP="001A23EE">
            <w:pPr>
              <w:pStyle w:val="Style6"/>
              <w:widowControl/>
              <w:tabs>
                <w:tab w:val="left" w:pos="466"/>
              </w:tabs>
              <w:spacing w:line="276" w:lineRule="auto"/>
              <w:jc w:val="both"/>
              <w:rPr>
                <w:rStyle w:val="FontStyle12"/>
                <w:rFonts w:ascii="Trebuchet MS" w:hAnsi="Trebuchet MS"/>
                <w:sz w:val="20"/>
                <w:lang w:val="uk-UA" w:eastAsia="uk-UA"/>
              </w:rPr>
            </w:pPr>
            <w:r w:rsidRPr="003A523D">
              <w:rPr>
                <w:rStyle w:val="FontStyle12"/>
                <w:rFonts w:ascii="Trebuchet MS" w:hAnsi="Trebuchet MS"/>
                <w:sz w:val="20"/>
                <w:lang w:val="uk-UA" w:eastAsia="uk-UA"/>
              </w:rPr>
              <w:t>-</w:t>
            </w:r>
            <w:r w:rsidRPr="003A523D">
              <w:rPr>
                <w:rStyle w:val="FontStyle12"/>
                <w:rFonts w:ascii="Trebuchet MS" w:hAnsi="Trebuchet MS"/>
                <w:sz w:val="18"/>
                <w:szCs w:val="20"/>
                <w:lang w:val="uk-UA" w:eastAsia="uk-UA"/>
              </w:rPr>
              <w:tab/>
            </w:r>
            <w:r w:rsidRPr="003A523D">
              <w:rPr>
                <w:rStyle w:val="FontStyle12"/>
                <w:rFonts w:ascii="Trebuchet MS" w:hAnsi="Trebuchet MS"/>
                <w:sz w:val="20"/>
                <w:lang w:val="uk-UA" w:eastAsia="uk-UA"/>
              </w:rPr>
              <w:t>перехід прав та обов'язків до нового власника (користув</w:t>
            </w:r>
            <w:r w:rsidR="006F40EB" w:rsidRPr="003A523D">
              <w:rPr>
                <w:rStyle w:val="FontStyle12"/>
                <w:rFonts w:ascii="Trebuchet MS" w:hAnsi="Trebuchet MS"/>
                <w:sz w:val="20"/>
                <w:lang w:val="uk-UA" w:eastAsia="uk-UA"/>
              </w:rPr>
              <w:t xml:space="preserve">ача) об'єкта за  договорами, укладеними </w:t>
            </w:r>
            <w:r w:rsidRPr="003A523D">
              <w:rPr>
                <w:rStyle w:val="FontStyle12"/>
                <w:rFonts w:ascii="Trebuchet MS" w:hAnsi="Trebuchet MS"/>
                <w:sz w:val="20"/>
                <w:lang w:val="uk-UA" w:eastAsia="uk-UA"/>
              </w:rPr>
              <w:t>відповідно</w:t>
            </w:r>
            <w:r w:rsidR="006F40EB" w:rsidRPr="003A523D">
              <w:rPr>
                <w:rStyle w:val="FontStyle12"/>
                <w:rFonts w:ascii="Trebuchet MS" w:hAnsi="Trebuchet MS"/>
                <w:sz w:val="20"/>
                <w:lang w:val="uk-UA" w:eastAsia="uk-UA"/>
              </w:rPr>
              <w:t xml:space="preserve"> до </w:t>
            </w:r>
            <w:r w:rsidRPr="003A523D">
              <w:rPr>
                <w:rStyle w:val="FontStyle12"/>
                <w:rFonts w:ascii="Trebuchet MS" w:hAnsi="Trebuchet MS"/>
                <w:sz w:val="20"/>
                <w:lang w:val="uk-UA" w:eastAsia="uk-UA"/>
              </w:rPr>
              <w:t>Правил роздрібного ринку електричної енергії н</w:t>
            </w:r>
            <w:r w:rsidR="00321F15" w:rsidRPr="003A523D">
              <w:rPr>
                <w:rStyle w:val="FontStyle12"/>
                <w:rFonts w:ascii="Trebuchet MS" w:hAnsi="Trebuchet MS"/>
                <w:sz w:val="20"/>
                <w:lang w:val="uk-UA" w:eastAsia="uk-UA"/>
              </w:rPr>
              <w:t>е потребує додаткових узгоджень</w:t>
            </w:r>
            <w:r w:rsidR="002B0180" w:rsidRPr="003A523D">
              <w:rPr>
                <w:rStyle w:val="FontStyle12"/>
                <w:rFonts w:ascii="Trebuchet MS" w:hAnsi="Trebuchet MS"/>
                <w:sz w:val="20"/>
                <w:lang w:val="uk-UA" w:eastAsia="uk-UA"/>
              </w:rPr>
              <w:t>.</w:t>
            </w:r>
          </w:p>
        </w:tc>
      </w:tr>
      <w:tr w:rsidR="00F33C79" w:rsidRPr="00495EA8" w:rsidTr="00435544">
        <w:tc>
          <w:tcPr>
            <w:tcW w:w="2554" w:type="dxa"/>
            <w:tcBorders>
              <w:top w:val="single" w:sz="6" w:space="0" w:color="auto"/>
              <w:left w:val="single" w:sz="6" w:space="0" w:color="auto"/>
              <w:bottom w:val="single" w:sz="6" w:space="0" w:color="auto"/>
              <w:right w:val="single" w:sz="6" w:space="0" w:color="auto"/>
            </w:tcBorders>
          </w:tcPr>
          <w:p w:rsidR="00F33C79" w:rsidRPr="003A523D" w:rsidRDefault="00435544" w:rsidP="001A23EE">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на електричну енергію, у тому числі диференційовані ціни та критерії диференціації</w:t>
            </w:r>
          </w:p>
        </w:tc>
        <w:tc>
          <w:tcPr>
            <w:tcW w:w="7309" w:type="dxa"/>
            <w:tcBorders>
              <w:top w:val="single" w:sz="6" w:space="0" w:color="auto"/>
              <w:left w:val="single" w:sz="6" w:space="0" w:color="auto"/>
              <w:bottom w:val="single" w:sz="6" w:space="0" w:color="auto"/>
              <w:right w:val="single" w:sz="6" w:space="0" w:color="auto"/>
            </w:tcBorders>
            <w:shd w:val="clear" w:color="auto" w:fill="auto"/>
          </w:tcPr>
          <w:p w:rsidR="00F33C79" w:rsidRPr="003A523D" w:rsidRDefault="0076188B" w:rsidP="003B3061">
            <w:pPr>
              <w:pStyle w:val="Style6"/>
              <w:widowControl/>
              <w:tabs>
                <w:tab w:val="left" w:pos="466"/>
              </w:tabs>
              <w:spacing w:line="276" w:lineRule="auto"/>
              <w:jc w:val="both"/>
              <w:rPr>
                <w:rStyle w:val="FontStyle12"/>
                <w:rFonts w:ascii="Trebuchet MS" w:hAnsi="Trebuchet MS"/>
                <w:sz w:val="20"/>
                <w:lang w:val="uk-UA" w:eastAsia="uk-UA"/>
              </w:rPr>
            </w:pPr>
            <w:r w:rsidRPr="0076188B">
              <w:rPr>
                <w:rStyle w:val="FontStyle12"/>
                <w:rFonts w:ascii="Trebuchet MS" w:hAnsi="Trebuchet MS"/>
                <w:sz w:val="20"/>
                <w:lang w:val="uk-UA"/>
              </w:rPr>
              <w:t xml:space="preserve">Фактична ціна (тариф) купованої Споживачем електроенергії у розрахунковому періоді, яка зазначається в акті-купівлі продажу електроенергії, становить </w:t>
            </w:r>
            <w:r w:rsidR="003B3061">
              <w:rPr>
                <w:rStyle w:val="FontStyle12"/>
                <w:rFonts w:ascii="Trebuchet MS" w:hAnsi="Trebuchet MS"/>
                <w:b/>
                <w:sz w:val="20"/>
                <w:lang w:val="uk-UA"/>
              </w:rPr>
              <w:t>21,30</w:t>
            </w:r>
            <w:r w:rsidRPr="0076188B">
              <w:rPr>
                <w:rStyle w:val="FontStyle12"/>
                <w:rFonts w:ascii="Trebuchet MS" w:hAnsi="Trebuchet MS"/>
                <w:b/>
                <w:sz w:val="20"/>
                <w:lang w:val="uk-UA"/>
              </w:rPr>
              <w:t xml:space="preserve"> грн</w:t>
            </w:r>
            <w:r w:rsidR="002C4F60">
              <w:rPr>
                <w:rStyle w:val="FontStyle12"/>
                <w:rFonts w:ascii="Trebuchet MS" w:hAnsi="Trebuchet MS"/>
                <w:b/>
                <w:sz w:val="20"/>
                <w:lang w:val="uk-UA"/>
              </w:rPr>
              <w:t xml:space="preserve"> </w:t>
            </w:r>
            <w:r w:rsidRPr="0076188B">
              <w:rPr>
                <w:rStyle w:val="FontStyle12"/>
                <w:rFonts w:ascii="Trebuchet MS" w:hAnsi="Trebuchet MS"/>
                <w:b/>
                <w:sz w:val="20"/>
                <w:lang w:val="uk-UA"/>
              </w:rPr>
              <w:t>з ПДВ,</w:t>
            </w:r>
            <w:r w:rsidRPr="0076188B">
              <w:rPr>
                <w:rStyle w:val="FontStyle12"/>
                <w:rFonts w:ascii="Trebuchet MS" w:hAnsi="Trebuchet MS"/>
                <w:sz w:val="20"/>
                <w:lang w:val="uk-UA"/>
              </w:rPr>
              <w:t xml:space="preserve"> в тому числі ПДВ </w:t>
            </w:r>
            <w:r w:rsidR="003B3061">
              <w:rPr>
                <w:rStyle w:val="FontStyle12"/>
                <w:rFonts w:ascii="Trebuchet MS" w:hAnsi="Trebuchet MS"/>
                <w:sz w:val="20"/>
                <w:lang w:val="uk-UA"/>
              </w:rPr>
              <w:t>3,55</w:t>
            </w:r>
            <w:r w:rsidRPr="0076188B">
              <w:rPr>
                <w:rStyle w:val="FontStyle12"/>
                <w:rFonts w:ascii="Trebuchet MS" w:hAnsi="Trebuchet MS"/>
                <w:sz w:val="20"/>
                <w:lang w:val="uk-UA"/>
              </w:rPr>
              <w:t xml:space="preserve"> грн., за 1 кВт*год.</w:t>
            </w:r>
            <w:bookmarkStart w:id="0" w:name="_GoBack"/>
            <w:bookmarkEnd w:id="0"/>
          </w:p>
        </w:tc>
      </w:tr>
      <w:tr w:rsidR="00634081" w:rsidRPr="00495EA8"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ind w:left="379"/>
              <w:rPr>
                <w:rStyle w:val="FontStyle11"/>
                <w:rFonts w:ascii="Trebuchet MS" w:hAnsi="Trebuchet MS"/>
                <w:sz w:val="20"/>
                <w:lang w:val="uk-UA" w:eastAsia="uk-UA"/>
              </w:rPr>
            </w:pPr>
            <w:r w:rsidRPr="00A900E0">
              <w:rPr>
                <w:rStyle w:val="FontStyle11"/>
                <w:rFonts w:ascii="Trebuchet MS" w:hAnsi="Trebuchet MS"/>
                <w:sz w:val="20"/>
                <w:lang w:val="uk-UA" w:eastAsia="uk-UA"/>
              </w:rPr>
              <w:t>Територія здійснення ліцензованої діяльності</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r w:rsidRPr="00A92AC7">
              <w:rPr>
                <w:rStyle w:val="FontStyle12"/>
                <w:rFonts w:ascii="Trebuchet MS" w:hAnsi="Trebuchet MS"/>
                <w:sz w:val="20"/>
                <w:szCs w:val="20"/>
                <w:lang w:eastAsia="uk-UA"/>
              </w:rPr>
              <w:t>територі</w:t>
            </w:r>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України (крім населених пунктів, на території яких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634081" w:rsidRPr="00A900E0" w:rsidRDefault="00634081" w:rsidP="001A23EE">
            <w:pPr>
              <w:pStyle w:val="Style1"/>
              <w:widowControl/>
              <w:spacing w:line="276" w:lineRule="auto"/>
              <w:ind w:firstLine="5"/>
              <w:rPr>
                <w:rStyle w:val="FontStyle12"/>
                <w:rFonts w:ascii="Trebuchet MS" w:hAnsi="Trebuchet MS"/>
                <w:sz w:val="20"/>
                <w:lang w:val="uk-UA" w:eastAsia="uk-UA"/>
              </w:rPr>
            </w:pPr>
          </w:p>
        </w:tc>
      </w:tr>
      <w:tr w:rsidR="00F422F6" w:rsidRPr="003B3061" w:rsidTr="00435544">
        <w:tc>
          <w:tcPr>
            <w:tcW w:w="2554" w:type="dxa"/>
            <w:tcBorders>
              <w:top w:val="single" w:sz="6" w:space="0" w:color="auto"/>
              <w:left w:val="single" w:sz="6" w:space="0" w:color="auto"/>
              <w:bottom w:val="single" w:sz="6" w:space="0" w:color="auto"/>
              <w:right w:val="single" w:sz="6" w:space="0" w:color="auto"/>
            </w:tcBorders>
          </w:tcPr>
          <w:p w:rsidR="00F422F6" w:rsidRPr="003A523D" w:rsidRDefault="00F422F6" w:rsidP="001A23EE">
            <w:pPr>
              <w:pStyle w:val="Style5"/>
              <w:widowControl/>
              <w:spacing w:line="276" w:lineRule="auto"/>
              <w:rPr>
                <w:rStyle w:val="FontStyle11"/>
                <w:rFonts w:ascii="Trebuchet MS" w:hAnsi="Trebuchet MS"/>
                <w:sz w:val="20"/>
                <w:lang w:val="uk-UA" w:eastAsia="uk-UA"/>
              </w:rPr>
            </w:pPr>
            <w:r w:rsidRPr="003A523D">
              <w:rPr>
                <w:rStyle w:val="FontStyle11"/>
                <w:rFonts w:ascii="Trebuchet MS" w:hAnsi="Trebuchet MS"/>
                <w:sz w:val="20"/>
                <w:lang w:val="uk-UA" w:eastAsia="uk-UA"/>
              </w:rPr>
              <w:t>Спосіб оплати</w:t>
            </w:r>
          </w:p>
        </w:tc>
        <w:tc>
          <w:tcPr>
            <w:tcW w:w="7309" w:type="dxa"/>
            <w:tcBorders>
              <w:top w:val="single" w:sz="6" w:space="0" w:color="auto"/>
              <w:left w:val="single" w:sz="6" w:space="0" w:color="auto"/>
              <w:bottom w:val="single" w:sz="6" w:space="0" w:color="auto"/>
              <w:right w:val="single" w:sz="6" w:space="0" w:color="auto"/>
            </w:tcBorders>
          </w:tcPr>
          <w:p w:rsidR="00AD7F98" w:rsidRPr="003A523D" w:rsidRDefault="0076188B" w:rsidP="001A23EE">
            <w:pPr>
              <w:pStyle w:val="Style1"/>
              <w:widowControl/>
              <w:spacing w:line="276" w:lineRule="auto"/>
              <w:rPr>
                <w:rStyle w:val="FontStyle12"/>
                <w:rFonts w:ascii="Trebuchet MS" w:hAnsi="Trebuchet MS"/>
                <w:sz w:val="20"/>
                <w:lang w:val="uk-UA" w:eastAsia="uk-UA"/>
              </w:rPr>
            </w:pPr>
            <w:r w:rsidRPr="001A23EE">
              <w:rPr>
                <w:rStyle w:val="FontStyle12"/>
                <w:rFonts w:ascii="Trebuchet MS" w:hAnsi="Trebuchet MS"/>
                <w:sz w:val="20"/>
                <w:lang w:val="uk-UA"/>
              </w:rPr>
              <w:t>Оплата електричної енергії, у тому числі за послугу з розподілу, здійснюється споживачем у формі повної оплати вартості обсягу спожитої (розподіленої) електричної енергії один раз за фактичними показами засобів комерційного обліку електричної енергії отриманими Постачальником від Оператора системи розподілу.</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t xml:space="preserve">Договірні обсяги </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2"/>
              </w:rPr>
              <w:t>Термін (строк) виставлення рахунку за спожиту електричну енергію та термін (строк) його оплати</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spacing w:line="276" w:lineRule="auto"/>
              <w:jc w:val="both"/>
              <w:rPr>
                <w:rFonts w:ascii="Trebuchet MS" w:eastAsia="Times New Roman" w:hAnsi="Trebuchet MS"/>
                <w:color w:val="000000"/>
                <w:sz w:val="20"/>
                <w:szCs w:val="20"/>
                <w:lang w:val="uk-UA"/>
              </w:rPr>
            </w:pPr>
            <w:r w:rsidRPr="00A92AC7">
              <w:rPr>
                <w:rFonts w:ascii="Trebuchet MS" w:eastAsia="Times New Roman" w:hAnsi="Trebuchet MS"/>
                <w:color w:val="000000"/>
                <w:sz w:val="20"/>
                <w:szCs w:val="20"/>
              </w:rPr>
              <w:t xml:space="preserve">Рахунок надається споживачу не пізніше десятого робочого дня </w:t>
            </w:r>
            <w:r w:rsidR="00A85A99">
              <w:rPr>
                <w:rFonts w:ascii="Trebuchet MS" w:eastAsia="Times New Roman" w:hAnsi="Trebuchet MS"/>
                <w:color w:val="000000"/>
                <w:sz w:val="20"/>
                <w:szCs w:val="20"/>
                <w:lang w:val="uk-UA"/>
              </w:rPr>
              <w:t>місяця, наступного за ро</w:t>
            </w:r>
            <w:r w:rsidRPr="00A92AC7">
              <w:rPr>
                <w:rFonts w:ascii="Trebuchet MS" w:eastAsia="Times New Roman" w:hAnsi="Trebuchet MS"/>
                <w:color w:val="000000"/>
                <w:sz w:val="20"/>
                <w:szCs w:val="20"/>
                <w:lang w:val="uk-UA"/>
              </w:rPr>
              <w:t>зрахунковим.</w:t>
            </w:r>
          </w:p>
          <w:p w:rsidR="00634081" w:rsidRPr="00A900E0" w:rsidRDefault="00634081" w:rsidP="001A23EE">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Оплата рахунку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634081" w:rsidRPr="003B3061"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309" w:type="dxa"/>
            <w:tcBorders>
              <w:top w:val="single" w:sz="6" w:space="0" w:color="auto"/>
              <w:left w:val="single" w:sz="6" w:space="0" w:color="auto"/>
              <w:bottom w:val="single" w:sz="6" w:space="0" w:color="auto"/>
              <w:right w:val="single" w:sz="6" w:space="0" w:color="auto"/>
            </w:tcBorders>
          </w:tcPr>
          <w:p w:rsidR="00634081" w:rsidRPr="0037365B" w:rsidRDefault="00634081" w:rsidP="001A23EE">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634081" w:rsidRPr="00C34E76"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ind w:left="250"/>
              <w:rPr>
                <w:rStyle w:val="FontStyle11"/>
                <w:rFonts w:ascii="Trebuchet MS" w:hAnsi="Trebuchet MS"/>
                <w:sz w:val="20"/>
                <w:lang w:val="uk-UA" w:eastAsia="uk-UA"/>
              </w:rPr>
            </w:pPr>
            <w:r w:rsidRPr="00A92AC7">
              <w:rPr>
                <w:rFonts w:ascii="Trebuchet MS" w:hAnsi="Trebuchet MS"/>
                <w:b/>
                <w:sz w:val="20"/>
                <w:szCs w:val="22"/>
              </w:rPr>
              <w:t xml:space="preserve">Наявність або відсутність штрафу за дострокове припинення дії договору, розмір </w:t>
            </w:r>
            <w:r w:rsidRPr="00A92AC7">
              <w:rPr>
                <w:rFonts w:ascii="Trebuchet MS" w:hAnsi="Trebuchet MS"/>
                <w:b/>
                <w:sz w:val="20"/>
                <w:szCs w:val="22"/>
              </w:rPr>
              <w:lastRenderedPageBreak/>
              <w:t>штрафу</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Style7"/>
              <w:widowControl/>
              <w:spacing w:line="276" w:lineRule="auto"/>
              <w:jc w:val="both"/>
              <w:rPr>
                <w:rFonts w:ascii="Trebuchet MS" w:hAnsi="Trebuchet MS"/>
                <w:lang w:val="uk-UA"/>
              </w:rPr>
            </w:pPr>
            <w:r w:rsidRPr="00A92AC7">
              <w:rPr>
                <w:rFonts w:ascii="Trebuchet MS" w:hAnsi="Trebuchet MS"/>
                <w:sz w:val="20"/>
                <w:szCs w:val="22"/>
                <w:lang w:val="uk-UA"/>
              </w:rPr>
              <w:lastRenderedPageBreak/>
              <w:t>Відсутній</w:t>
            </w:r>
          </w:p>
          <w:p w:rsidR="00634081" w:rsidRPr="0037365B" w:rsidRDefault="00634081" w:rsidP="001A23EE">
            <w:pPr>
              <w:pStyle w:val="Style7"/>
              <w:widowControl/>
              <w:spacing w:line="276" w:lineRule="auto"/>
              <w:jc w:val="both"/>
              <w:rPr>
                <w:rStyle w:val="FontStyle12"/>
                <w:rFonts w:ascii="Trebuchet MS" w:hAnsi="Trebuchet MS"/>
                <w:sz w:val="20"/>
                <w:lang w:val="uk-UA" w:eastAsia="uk-UA"/>
              </w:rPr>
            </w:pP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ind w:left="278"/>
              <w:rPr>
                <w:rStyle w:val="FontStyle11"/>
                <w:rFonts w:ascii="Trebuchet MS" w:hAnsi="Trebuchet MS"/>
                <w:sz w:val="20"/>
                <w:lang w:val="uk-UA" w:eastAsia="uk-UA"/>
              </w:rPr>
            </w:pPr>
            <w:r w:rsidRPr="00085033">
              <w:rPr>
                <w:rFonts w:ascii="Trebuchet MS" w:hAnsi="Trebuchet MS"/>
                <w:b/>
                <w:sz w:val="20"/>
                <w:szCs w:val="22"/>
              </w:rPr>
              <w:t>Урахування пільг, субсидій</w:t>
            </w:r>
          </w:p>
        </w:tc>
        <w:tc>
          <w:tcPr>
            <w:tcW w:w="7309"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5E0710" w:rsidRDefault="00634081" w:rsidP="001A23EE">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309" w:type="dxa"/>
            <w:tcBorders>
              <w:top w:val="single" w:sz="6" w:space="0" w:color="auto"/>
              <w:left w:val="single" w:sz="6" w:space="0" w:color="auto"/>
              <w:bottom w:val="single" w:sz="6" w:space="0" w:color="auto"/>
              <w:right w:val="single" w:sz="6" w:space="0" w:color="auto"/>
            </w:tcBorders>
          </w:tcPr>
          <w:p w:rsidR="00634081" w:rsidRPr="005E0710" w:rsidRDefault="00634081" w:rsidP="001A23EE">
            <w:pPr>
              <w:pStyle w:val="Style7"/>
              <w:widowControl/>
              <w:spacing w:line="276" w:lineRule="auto"/>
              <w:jc w:val="both"/>
              <w:rPr>
                <w:rStyle w:val="FontStyle12"/>
                <w:rFonts w:ascii="Trebuchet MS" w:hAnsi="Trebuchet MS"/>
                <w:sz w:val="20"/>
                <w:lang w:val="uk-UA" w:eastAsia="uk-UA"/>
              </w:rPr>
            </w:pPr>
            <w:r w:rsidRPr="00A92AC7">
              <w:rPr>
                <w:rFonts w:ascii="Trebuchet MS" w:hAnsi="Trebuchet MS"/>
                <w:sz w:val="20"/>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№1209 зі змінами</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Зобов'язання надавати компенсації споживачу за недотримання електропостачальником комерційної якості надання послуг</w:t>
            </w:r>
          </w:p>
        </w:tc>
        <w:tc>
          <w:tcPr>
            <w:tcW w:w="7309"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A900E0" w:rsidRDefault="00634081" w:rsidP="001A23EE">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Строк дії договору та умови пролангації</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Pr>
                <w:rStyle w:val="FontStyle11"/>
                <w:rFonts w:ascii="Trebuchet MS" w:hAnsi="Trebuchet MS"/>
                <w:sz w:val="20"/>
                <w:u w:val="single"/>
                <w:lang w:val="uk-UA" w:eastAsia="uk-UA"/>
              </w:rPr>
              <w:t>5</w:t>
            </w:r>
            <w:r w:rsidRPr="003A523D">
              <w:rPr>
                <w:rStyle w:val="FontStyle11"/>
                <w:rFonts w:ascii="Trebuchet MS" w:hAnsi="Trebuchet MS"/>
                <w:sz w:val="20"/>
                <w:u w:val="single"/>
                <w:lang w:val="uk-UA" w:eastAsia="uk-UA"/>
              </w:rPr>
              <w:t>ВСф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634081" w:rsidRPr="00A92AC7" w:rsidRDefault="00634081" w:rsidP="001A23EE">
            <w:pPr>
              <w:pStyle w:val="Style7"/>
              <w:widowControl/>
              <w:spacing w:line="276" w:lineRule="auto"/>
              <w:ind w:left="10" w:hanging="10"/>
              <w:jc w:val="both"/>
              <w:rPr>
                <w:rFonts w:ascii="Trebuchet MS" w:hAnsi="Trebuchet MS"/>
              </w:rPr>
            </w:pPr>
            <w:r w:rsidRPr="00A92AC7">
              <w:rPr>
                <w:rFonts w:ascii="Trebuchet MS" w:hAnsi="Trebuchet MS"/>
                <w:sz w:val="20"/>
              </w:rPr>
              <w:t>Договір діє до 31.12.202</w:t>
            </w:r>
            <w:r w:rsidR="00435544">
              <w:rPr>
                <w:rFonts w:ascii="Trebuchet MS" w:hAnsi="Trebuchet MS"/>
                <w:sz w:val="20"/>
                <w:lang w:val="uk-UA"/>
              </w:rPr>
              <w:t>6</w:t>
            </w:r>
            <w:r w:rsidRPr="00A92AC7">
              <w:rPr>
                <w:rFonts w:ascii="Trebuchet MS" w:hAnsi="Trebuchet MS"/>
                <w:sz w:val="20"/>
              </w:rPr>
              <w:t>,</w:t>
            </w:r>
            <w:r w:rsidRPr="00A92AC7">
              <w:rPr>
                <w:rFonts w:ascii="Trebuchet MS" w:hAnsi="Trebuchet MS"/>
                <w:sz w:val="20"/>
                <w:szCs w:val="22"/>
                <w:lang w:val="uk-UA" w:eastAsia="uk-UA"/>
              </w:rPr>
              <w:t xml:space="preserve"> </w:t>
            </w:r>
            <w:r w:rsidRPr="00A92AC7">
              <w:rPr>
                <w:rFonts w:ascii="Trebuchet MS" w:hAnsi="Trebuchet MS"/>
                <w:sz w:val="20"/>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634081" w:rsidRPr="00A92AC7" w:rsidRDefault="00634081" w:rsidP="001A23EE">
            <w:pPr>
              <w:pStyle w:val="Style7"/>
              <w:widowControl/>
              <w:spacing w:line="276" w:lineRule="auto"/>
              <w:ind w:left="10" w:hanging="10"/>
              <w:jc w:val="both"/>
              <w:rPr>
                <w:rFonts w:ascii="Trebuchet MS" w:hAnsi="Trebuchet MS"/>
              </w:rPr>
            </w:pPr>
            <w:r w:rsidRPr="00A92AC7">
              <w:rPr>
                <w:rFonts w:ascii="Trebuchet MS" w:hAnsi="Trebuchet MS"/>
                <w:sz w:val="20"/>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634081" w:rsidRPr="00A92AC7" w:rsidRDefault="00634081" w:rsidP="001A23EE">
            <w:pPr>
              <w:pStyle w:val="Style7"/>
              <w:widowControl/>
              <w:spacing w:line="276" w:lineRule="auto"/>
              <w:ind w:left="10" w:hanging="10"/>
              <w:jc w:val="both"/>
              <w:rPr>
                <w:rFonts w:ascii="Trebuchet MS" w:hAnsi="Trebuchet MS"/>
              </w:rPr>
            </w:pPr>
            <w:r w:rsidRPr="00A92AC7">
              <w:rPr>
                <w:rFonts w:ascii="Trebuchet MS" w:hAnsi="Trebuchet MS"/>
                <w:sz w:val="20"/>
              </w:rPr>
              <w:t>В частині розрахунків, в будь-якому разі, Договір діє до повного виконання Сторонами своїх зобов’язань.</w:t>
            </w:r>
          </w:p>
          <w:p w:rsidR="00634081" w:rsidRPr="00A92AC7" w:rsidRDefault="00634081" w:rsidP="001A23EE">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чинним законодавством України.</w:t>
            </w:r>
          </w:p>
        </w:tc>
      </w:tr>
      <w:tr w:rsidR="00634081" w:rsidRPr="003A523D" w:rsidTr="00435544">
        <w:tc>
          <w:tcPr>
            <w:tcW w:w="2554" w:type="dxa"/>
            <w:tcBorders>
              <w:top w:val="single" w:sz="6" w:space="0" w:color="auto"/>
              <w:left w:val="single" w:sz="6" w:space="0" w:color="auto"/>
              <w:bottom w:val="single" w:sz="6" w:space="0" w:color="auto"/>
              <w:right w:val="single" w:sz="6" w:space="0" w:color="auto"/>
            </w:tcBorders>
          </w:tcPr>
          <w:p w:rsidR="00634081" w:rsidRPr="003A523D" w:rsidRDefault="00634081" w:rsidP="001A23EE">
            <w:pPr>
              <w:pStyle w:val="Style5"/>
              <w:widowControl/>
              <w:spacing w:line="276" w:lineRule="auto"/>
              <w:rPr>
                <w:rStyle w:val="FontStyle11"/>
                <w:rFonts w:ascii="Trebuchet MS" w:hAnsi="Trebuchet MS"/>
                <w:sz w:val="20"/>
                <w:lang w:val="uk-UA" w:eastAsia="uk-UA"/>
              </w:rPr>
            </w:pPr>
            <w:r w:rsidRPr="00522FF4">
              <w:rPr>
                <w:rFonts w:ascii="Trebuchet MS" w:hAnsi="Trebuchet MS"/>
                <w:b/>
                <w:sz w:val="20"/>
                <w:szCs w:val="22"/>
              </w:rPr>
              <w:t>Визначення способу оплати послуг з розподілу та передачі електричної енергії</w:t>
            </w:r>
          </w:p>
        </w:tc>
        <w:tc>
          <w:tcPr>
            <w:tcW w:w="7309" w:type="dxa"/>
            <w:tcBorders>
              <w:top w:val="single" w:sz="6" w:space="0" w:color="auto"/>
              <w:left w:val="single" w:sz="6" w:space="0" w:color="auto"/>
              <w:bottom w:val="single" w:sz="6" w:space="0" w:color="auto"/>
              <w:right w:val="single" w:sz="6" w:space="0" w:color="auto"/>
            </w:tcBorders>
          </w:tcPr>
          <w:p w:rsidR="00634081" w:rsidRPr="003A523D" w:rsidRDefault="00634081" w:rsidP="001A23EE">
            <w:pPr>
              <w:pStyle w:val="Style7"/>
              <w:widowControl/>
              <w:spacing w:line="276" w:lineRule="auto"/>
              <w:ind w:left="10" w:hanging="10"/>
              <w:jc w:val="both"/>
              <w:rPr>
                <w:rStyle w:val="FontStyle12"/>
                <w:rFonts w:ascii="Trebuchet MS" w:hAnsi="Trebuchet MS"/>
                <w:sz w:val="20"/>
              </w:rPr>
            </w:pPr>
            <w:r w:rsidRPr="0076188B">
              <w:rPr>
                <w:rStyle w:val="FontStyle12"/>
                <w:rFonts w:ascii="Trebuchet MS" w:hAnsi="Trebuchet MS"/>
                <w:sz w:val="20"/>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634081" w:rsidRPr="00830538" w:rsidTr="00435544">
        <w:tc>
          <w:tcPr>
            <w:tcW w:w="2554" w:type="dxa"/>
            <w:tcBorders>
              <w:top w:val="single" w:sz="6" w:space="0" w:color="auto"/>
              <w:left w:val="single" w:sz="6" w:space="0" w:color="auto"/>
              <w:bottom w:val="single" w:sz="6" w:space="0" w:color="auto"/>
              <w:right w:val="single" w:sz="6" w:space="0" w:color="auto"/>
            </w:tcBorders>
          </w:tcPr>
          <w:p w:rsidR="00634081" w:rsidRPr="00117BF7" w:rsidRDefault="00634081" w:rsidP="001A23EE">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309" w:type="dxa"/>
            <w:tcBorders>
              <w:top w:val="single" w:sz="6" w:space="0" w:color="auto"/>
              <w:left w:val="single" w:sz="6" w:space="0" w:color="auto"/>
              <w:bottom w:val="single" w:sz="6" w:space="0" w:color="auto"/>
              <w:right w:val="single" w:sz="6" w:space="0" w:color="auto"/>
            </w:tcBorders>
          </w:tcPr>
          <w:p w:rsidR="00435544" w:rsidRPr="00435544" w:rsidRDefault="00435544" w:rsidP="00435544">
            <w:pPr>
              <w:jc w:val="both"/>
              <w:textAlignment w:val="baseline"/>
              <w:rPr>
                <w:rStyle w:val="FontStyle12"/>
                <w:rFonts w:ascii="Trebuchet MS" w:hAnsi="Trebuchet MS"/>
                <w:sz w:val="20"/>
                <w:lang w:val="uk-UA" w:eastAsia="uk-UA"/>
              </w:rPr>
            </w:pPr>
            <w:r w:rsidRPr="00435544">
              <w:rPr>
                <w:rStyle w:val="FontStyle12"/>
                <w:rFonts w:ascii="Trebuchet MS" w:hAnsi="Trebuchet MS"/>
                <w:sz w:val="20"/>
                <w:lang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w:t>
            </w:r>
          </w:p>
          <w:p w:rsidR="00634081" w:rsidRPr="00A92AC7" w:rsidRDefault="00435544" w:rsidP="00435544">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 </w:t>
            </w:r>
            <w:r w:rsidR="00634081"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w:t>
            </w:r>
            <w:r w:rsidRPr="00A92AC7">
              <w:rPr>
                <w:rStyle w:val="FontStyle12"/>
                <w:rFonts w:ascii="Trebuchet MS" w:hAnsi="Trebuchet MS"/>
                <w:sz w:val="20"/>
                <w:lang w:val="uk-UA" w:eastAsia="uk-UA"/>
              </w:rPr>
              <w:lastRenderedPageBreak/>
              <w:t xml:space="preserve">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634081" w:rsidRPr="00A92AC7" w:rsidRDefault="00634081" w:rsidP="001A23EE">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34081" w:rsidRPr="00117BF7" w:rsidRDefault="00634081" w:rsidP="001A23EE">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634081" w:rsidRPr="00830538" w:rsidTr="00435544">
        <w:tc>
          <w:tcPr>
            <w:tcW w:w="2554" w:type="dxa"/>
            <w:tcBorders>
              <w:top w:val="single" w:sz="6" w:space="0" w:color="auto"/>
              <w:left w:val="single" w:sz="6" w:space="0" w:color="auto"/>
              <w:bottom w:val="single" w:sz="6" w:space="0" w:color="auto"/>
              <w:right w:val="single" w:sz="6" w:space="0" w:color="auto"/>
            </w:tcBorders>
          </w:tcPr>
          <w:p w:rsidR="00634081" w:rsidRPr="00240651" w:rsidRDefault="00634081" w:rsidP="001A23EE">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309" w:type="dxa"/>
            <w:tcBorders>
              <w:top w:val="single" w:sz="6" w:space="0" w:color="auto"/>
              <w:left w:val="single" w:sz="6" w:space="0" w:color="auto"/>
              <w:bottom w:val="single" w:sz="6" w:space="0" w:color="auto"/>
              <w:right w:val="single" w:sz="6" w:space="0" w:color="auto"/>
            </w:tcBorders>
          </w:tcPr>
          <w:p w:rsidR="00634081" w:rsidRPr="00A92AC7" w:rsidRDefault="00634081" w:rsidP="001A23EE">
            <w:pPr>
              <w:spacing w:line="276" w:lineRule="auto"/>
              <w:jc w:val="both"/>
              <w:rPr>
                <w:rFonts w:ascii="Trebuchet MS" w:hAnsi="Trebuchet MS"/>
                <w:lang w:val="uk-UA"/>
              </w:rPr>
            </w:pPr>
            <w:r w:rsidRPr="00A92AC7">
              <w:rPr>
                <w:rFonts w:ascii="Trebuchet MS" w:hAnsi="Trebuchet MS"/>
                <w:sz w:val="20"/>
                <w:szCs w:val="22"/>
                <w:lang w:val="uk-UA"/>
              </w:rPr>
              <w:t>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w:t>
            </w:r>
            <w:r w:rsidR="00435544">
              <w:rPr>
                <w:rFonts w:ascii="Trebuchet MS" w:hAnsi="Trebuchet MS"/>
                <w:sz w:val="20"/>
                <w:szCs w:val="22"/>
                <w:lang w:val="uk-UA"/>
              </w:rPr>
              <w:t>им</w:t>
            </w:r>
            <w:r w:rsidRPr="00A92AC7">
              <w:rPr>
                <w:rFonts w:ascii="Trebuchet MS" w:hAnsi="Trebuchet MS"/>
                <w:sz w:val="20"/>
                <w:szCs w:val="22"/>
                <w:lang w:val="uk-UA"/>
              </w:rPr>
              <w:t xml:space="preserve"> для Споживача, може здійснюватися шляхом направлення відповідної інформації: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через особистий кабінет на своєму офіційному сайті у мережі Інтернет,</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xml:space="preserve">-засобами електронного зв'язку на електронну адресу, вказану у заяві-приєднання до умов договору,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xml:space="preserve">- на поштову адресу місця реєстрації юридичної особи,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 xml:space="preserve">-СМС-повідомленням на номер, зазначений у заяві-приєднання до умов договору, </w:t>
            </w:r>
          </w:p>
          <w:p w:rsidR="00634081" w:rsidRPr="00A92AC7" w:rsidRDefault="00634081" w:rsidP="001A23EE">
            <w:pPr>
              <w:spacing w:line="276" w:lineRule="auto"/>
              <w:jc w:val="both"/>
              <w:rPr>
                <w:rFonts w:ascii="Trebuchet MS" w:hAnsi="Trebuchet MS"/>
              </w:rPr>
            </w:pPr>
            <w:r w:rsidRPr="00A92AC7">
              <w:rPr>
                <w:rFonts w:ascii="Trebuchet MS" w:hAnsi="Trebuchet MS"/>
                <w:sz w:val="20"/>
                <w:szCs w:val="22"/>
              </w:rPr>
              <w:t>-в центрах обслуговування споживачів.</w:t>
            </w:r>
          </w:p>
          <w:p w:rsidR="00634081" w:rsidRPr="00240651" w:rsidRDefault="00634081" w:rsidP="001A23EE">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376B29" w:rsidRDefault="00376B29" w:rsidP="001A23EE">
      <w:pPr>
        <w:widowControl/>
        <w:spacing w:line="276" w:lineRule="auto"/>
        <w:rPr>
          <w:rStyle w:val="FontStyle12"/>
          <w:rFonts w:ascii="Trebuchet MS" w:hAnsi="Trebuchet MS"/>
          <w:lang w:val="uk-UA" w:eastAsia="uk-UA"/>
        </w:rPr>
      </w:pPr>
    </w:p>
    <w:tbl>
      <w:tblPr>
        <w:tblW w:w="0" w:type="auto"/>
        <w:tblLook w:val="04A0" w:firstRow="1" w:lastRow="0" w:firstColumn="1" w:lastColumn="0" w:noHBand="0" w:noVBand="1"/>
      </w:tblPr>
      <w:tblGrid>
        <w:gridCol w:w="4877"/>
        <w:gridCol w:w="4837"/>
      </w:tblGrid>
      <w:tr w:rsidR="00435544" w:rsidRPr="008D070F" w:rsidTr="007A1C79">
        <w:tc>
          <w:tcPr>
            <w:tcW w:w="4943" w:type="dxa"/>
          </w:tcPr>
          <w:p w:rsidR="00435544" w:rsidRPr="008D070F" w:rsidRDefault="00435544" w:rsidP="007A1C79">
            <w:pPr>
              <w:tabs>
                <w:tab w:val="left" w:pos="1695"/>
              </w:tabs>
              <w:spacing w:line="276" w:lineRule="auto"/>
              <w:rPr>
                <w:rFonts w:ascii="Trebuchet MS" w:hAnsi="Trebuchet MS"/>
                <w:b/>
                <w:sz w:val="20"/>
                <w:szCs w:val="20"/>
              </w:rPr>
            </w:pPr>
            <w:r w:rsidRPr="008D070F">
              <w:rPr>
                <w:rFonts w:ascii="Trebuchet MS" w:hAnsi="Trebuchet MS"/>
                <w:b/>
                <w:sz w:val="20"/>
                <w:szCs w:val="20"/>
              </w:rPr>
              <w:t>Постачальник:</w:t>
            </w:r>
          </w:p>
          <w:p w:rsidR="00435544" w:rsidRPr="008D070F" w:rsidRDefault="00435544" w:rsidP="007A1C79">
            <w:pPr>
              <w:tabs>
                <w:tab w:val="left" w:pos="1695"/>
              </w:tabs>
              <w:spacing w:line="276" w:lineRule="auto"/>
              <w:rPr>
                <w:rFonts w:ascii="Trebuchet MS" w:hAnsi="Trebuchet MS"/>
                <w:b/>
                <w:sz w:val="20"/>
                <w:szCs w:val="20"/>
              </w:rPr>
            </w:pPr>
            <w:r w:rsidRPr="008D070F">
              <w:rPr>
                <w:rFonts w:ascii="Trebuchet MS" w:hAnsi="Trebuchet MS"/>
                <w:b/>
                <w:sz w:val="20"/>
                <w:szCs w:val="20"/>
              </w:rPr>
              <w:t>ТОВ «ЕНЕРА СУМИ»</w:t>
            </w:r>
          </w:p>
        </w:tc>
        <w:tc>
          <w:tcPr>
            <w:tcW w:w="4910" w:type="dxa"/>
          </w:tcPr>
          <w:p w:rsidR="00435544" w:rsidRPr="008D070F" w:rsidRDefault="00435544" w:rsidP="007A1C79">
            <w:pPr>
              <w:tabs>
                <w:tab w:val="left" w:pos="1695"/>
              </w:tabs>
              <w:spacing w:line="276" w:lineRule="auto"/>
              <w:rPr>
                <w:rFonts w:ascii="Trebuchet MS" w:hAnsi="Trebuchet MS"/>
                <w:b/>
                <w:sz w:val="20"/>
                <w:szCs w:val="20"/>
              </w:rPr>
            </w:pPr>
            <w:r w:rsidRPr="008D070F">
              <w:rPr>
                <w:rFonts w:ascii="Trebuchet MS" w:hAnsi="Trebuchet MS"/>
                <w:b/>
                <w:sz w:val="20"/>
                <w:szCs w:val="20"/>
                <w:lang w:val="uk-UA"/>
              </w:rPr>
              <w:t>Споживач:</w:t>
            </w:r>
          </w:p>
        </w:tc>
      </w:tr>
    </w:tbl>
    <w:p w:rsidR="00435544" w:rsidRPr="00435544" w:rsidRDefault="00435544" w:rsidP="00435544">
      <w:pPr>
        <w:rPr>
          <w:rFonts w:ascii="Trebuchet MS" w:hAnsi="Trebuchet MS"/>
          <w:sz w:val="22"/>
          <w:szCs w:val="22"/>
          <w:lang w:val="uk-UA" w:eastAsia="uk-UA"/>
        </w:rPr>
      </w:pPr>
    </w:p>
    <w:sectPr w:rsidR="00435544" w:rsidRPr="00435544" w:rsidSect="00435544">
      <w:type w:val="continuous"/>
      <w:pgSz w:w="11905" w:h="16837"/>
      <w:pgMar w:top="851" w:right="706" w:bottom="851"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EC7" w:rsidRDefault="00167EC7">
      <w:r>
        <w:separator/>
      </w:r>
    </w:p>
  </w:endnote>
  <w:endnote w:type="continuationSeparator" w:id="0">
    <w:p w:rsidR="00167EC7" w:rsidRDefault="0016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EC7" w:rsidRDefault="00167EC7">
      <w:r>
        <w:separator/>
      </w:r>
    </w:p>
  </w:footnote>
  <w:footnote w:type="continuationSeparator" w:id="0">
    <w:p w:rsidR="00167EC7" w:rsidRDefault="00167E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9153"/>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7F648F"/>
    <w:rsid w:val="0000332E"/>
    <w:rsid w:val="00005548"/>
    <w:rsid w:val="000122EF"/>
    <w:rsid w:val="00043C29"/>
    <w:rsid w:val="00051422"/>
    <w:rsid w:val="00052DE1"/>
    <w:rsid w:val="00057C40"/>
    <w:rsid w:val="000618E2"/>
    <w:rsid w:val="00085343"/>
    <w:rsid w:val="000B0AAE"/>
    <w:rsid w:val="000D13B5"/>
    <w:rsid w:val="000D1AB2"/>
    <w:rsid w:val="000D7484"/>
    <w:rsid w:val="00113343"/>
    <w:rsid w:val="00113E8B"/>
    <w:rsid w:val="00117262"/>
    <w:rsid w:val="00126468"/>
    <w:rsid w:val="00137B96"/>
    <w:rsid w:val="001463C9"/>
    <w:rsid w:val="00167EC7"/>
    <w:rsid w:val="001A23EE"/>
    <w:rsid w:val="001A4A64"/>
    <w:rsid w:val="001B1F27"/>
    <w:rsid w:val="001C1900"/>
    <w:rsid w:val="001C6FA8"/>
    <w:rsid w:val="001E09C2"/>
    <w:rsid w:val="001E0CC7"/>
    <w:rsid w:val="001F1072"/>
    <w:rsid w:val="001F6B44"/>
    <w:rsid w:val="00206469"/>
    <w:rsid w:val="00210F51"/>
    <w:rsid w:val="0021169A"/>
    <w:rsid w:val="00221FD9"/>
    <w:rsid w:val="00261543"/>
    <w:rsid w:val="00266475"/>
    <w:rsid w:val="00282BFC"/>
    <w:rsid w:val="002A4D25"/>
    <w:rsid w:val="002B0180"/>
    <w:rsid w:val="002C0E83"/>
    <w:rsid w:val="002C4F60"/>
    <w:rsid w:val="002C5AE7"/>
    <w:rsid w:val="002C729E"/>
    <w:rsid w:val="002E40C8"/>
    <w:rsid w:val="002E4C52"/>
    <w:rsid w:val="002F1FFB"/>
    <w:rsid w:val="002F241A"/>
    <w:rsid w:val="003114BC"/>
    <w:rsid w:val="00320A38"/>
    <w:rsid w:val="00321F15"/>
    <w:rsid w:val="00357DD1"/>
    <w:rsid w:val="003661EB"/>
    <w:rsid w:val="00376B29"/>
    <w:rsid w:val="00385F99"/>
    <w:rsid w:val="003A523D"/>
    <w:rsid w:val="003B3061"/>
    <w:rsid w:val="003C2C23"/>
    <w:rsid w:val="003D021B"/>
    <w:rsid w:val="004001F1"/>
    <w:rsid w:val="00412123"/>
    <w:rsid w:val="00413F02"/>
    <w:rsid w:val="00435544"/>
    <w:rsid w:val="00435AD5"/>
    <w:rsid w:val="00437233"/>
    <w:rsid w:val="00445386"/>
    <w:rsid w:val="004509C3"/>
    <w:rsid w:val="00455D7A"/>
    <w:rsid w:val="004724CD"/>
    <w:rsid w:val="00476E8B"/>
    <w:rsid w:val="0049256A"/>
    <w:rsid w:val="00495EA8"/>
    <w:rsid w:val="004A3194"/>
    <w:rsid w:val="004B56DF"/>
    <w:rsid w:val="004D4DE9"/>
    <w:rsid w:val="004E1299"/>
    <w:rsid w:val="004E2DBE"/>
    <w:rsid w:val="00553813"/>
    <w:rsid w:val="00561C17"/>
    <w:rsid w:val="00565AD4"/>
    <w:rsid w:val="00582DD2"/>
    <w:rsid w:val="00596AFA"/>
    <w:rsid w:val="005A227B"/>
    <w:rsid w:val="005A62F6"/>
    <w:rsid w:val="005C483A"/>
    <w:rsid w:val="005E5EA7"/>
    <w:rsid w:val="005F6C8E"/>
    <w:rsid w:val="0060782C"/>
    <w:rsid w:val="00617B52"/>
    <w:rsid w:val="00634081"/>
    <w:rsid w:val="00637113"/>
    <w:rsid w:val="00664F13"/>
    <w:rsid w:val="00665A26"/>
    <w:rsid w:val="006906DC"/>
    <w:rsid w:val="006C246D"/>
    <w:rsid w:val="006C6290"/>
    <w:rsid w:val="006D65BA"/>
    <w:rsid w:val="006F40EB"/>
    <w:rsid w:val="006F56D8"/>
    <w:rsid w:val="0070140E"/>
    <w:rsid w:val="00710CED"/>
    <w:rsid w:val="00713874"/>
    <w:rsid w:val="00731C7A"/>
    <w:rsid w:val="007400C7"/>
    <w:rsid w:val="00747772"/>
    <w:rsid w:val="0076188B"/>
    <w:rsid w:val="00774349"/>
    <w:rsid w:val="00790C26"/>
    <w:rsid w:val="007A5226"/>
    <w:rsid w:val="007B16B5"/>
    <w:rsid w:val="007C65C1"/>
    <w:rsid w:val="007D1543"/>
    <w:rsid w:val="007D5D46"/>
    <w:rsid w:val="007E68E4"/>
    <w:rsid w:val="007F01B0"/>
    <w:rsid w:val="007F1094"/>
    <w:rsid w:val="007F648F"/>
    <w:rsid w:val="0080610B"/>
    <w:rsid w:val="00815D5C"/>
    <w:rsid w:val="00820AEF"/>
    <w:rsid w:val="00830538"/>
    <w:rsid w:val="00831ECE"/>
    <w:rsid w:val="0085577A"/>
    <w:rsid w:val="008630F0"/>
    <w:rsid w:val="00886422"/>
    <w:rsid w:val="00893132"/>
    <w:rsid w:val="00894D23"/>
    <w:rsid w:val="008B0BDA"/>
    <w:rsid w:val="008B7174"/>
    <w:rsid w:val="008C5880"/>
    <w:rsid w:val="008D57F0"/>
    <w:rsid w:val="00902AD1"/>
    <w:rsid w:val="0091004A"/>
    <w:rsid w:val="00914857"/>
    <w:rsid w:val="009200D0"/>
    <w:rsid w:val="00922CB4"/>
    <w:rsid w:val="00934398"/>
    <w:rsid w:val="00934D1B"/>
    <w:rsid w:val="009365B9"/>
    <w:rsid w:val="00946130"/>
    <w:rsid w:val="009461C8"/>
    <w:rsid w:val="009545A7"/>
    <w:rsid w:val="00956ABA"/>
    <w:rsid w:val="00965784"/>
    <w:rsid w:val="00965EA5"/>
    <w:rsid w:val="00983D0E"/>
    <w:rsid w:val="00996D73"/>
    <w:rsid w:val="009A13F0"/>
    <w:rsid w:val="009B0EEA"/>
    <w:rsid w:val="009C3D28"/>
    <w:rsid w:val="009F35F0"/>
    <w:rsid w:val="00A00D4E"/>
    <w:rsid w:val="00A074FA"/>
    <w:rsid w:val="00A1108D"/>
    <w:rsid w:val="00A42208"/>
    <w:rsid w:val="00A52B0C"/>
    <w:rsid w:val="00A52F4C"/>
    <w:rsid w:val="00A85A99"/>
    <w:rsid w:val="00A8688E"/>
    <w:rsid w:val="00A956D9"/>
    <w:rsid w:val="00AA478E"/>
    <w:rsid w:val="00AA4BAA"/>
    <w:rsid w:val="00AB4B65"/>
    <w:rsid w:val="00AB7D9C"/>
    <w:rsid w:val="00AD7F98"/>
    <w:rsid w:val="00B01FF0"/>
    <w:rsid w:val="00B02160"/>
    <w:rsid w:val="00B15D7D"/>
    <w:rsid w:val="00B20D23"/>
    <w:rsid w:val="00B3246F"/>
    <w:rsid w:val="00B347F2"/>
    <w:rsid w:val="00B50A60"/>
    <w:rsid w:val="00B67869"/>
    <w:rsid w:val="00B90F73"/>
    <w:rsid w:val="00B96412"/>
    <w:rsid w:val="00BB3C41"/>
    <w:rsid w:val="00BB4971"/>
    <w:rsid w:val="00BC4761"/>
    <w:rsid w:val="00BD55F3"/>
    <w:rsid w:val="00BD62AA"/>
    <w:rsid w:val="00BE1AF6"/>
    <w:rsid w:val="00BE37AA"/>
    <w:rsid w:val="00BE6730"/>
    <w:rsid w:val="00C16682"/>
    <w:rsid w:val="00C178FD"/>
    <w:rsid w:val="00C21A8C"/>
    <w:rsid w:val="00C23688"/>
    <w:rsid w:val="00C27581"/>
    <w:rsid w:val="00C34E76"/>
    <w:rsid w:val="00C55AB2"/>
    <w:rsid w:val="00C644F7"/>
    <w:rsid w:val="00C679D2"/>
    <w:rsid w:val="00C70618"/>
    <w:rsid w:val="00C721D2"/>
    <w:rsid w:val="00C7585C"/>
    <w:rsid w:val="00C76924"/>
    <w:rsid w:val="00C76FF5"/>
    <w:rsid w:val="00C84815"/>
    <w:rsid w:val="00C85D90"/>
    <w:rsid w:val="00C9342D"/>
    <w:rsid w:val="00CA29D2"/>
    <w:rsid w:val="00CA3B71"/>
    <w:rsid w:val="00CC1776"/>
    <w:rsid w:val="00D04207"/>
    <w:rsid w:val="00D124A8"/>
    <w:rsid w:val="00D12B69"/>
    <w:rsid w:val="00D30B7A"/>
    <w:rsid w:val="00D32611"/>
    <w:rsid w:val="00D36607"/>
    <w:rsid w:val="00D506A9"/>
    <w:rsid w:val="00D6714F"/>
    <w:rsid w:val="00D8225F"/>
    <w:rsid w:val="00D93CFB"/>
    <w:rsid w:val="00DA2489"/>
    <w:rsid w:val="00DB333C"/>
    <w:rsid w:val="00DB611D"/>
    <w:rsid w:val="00DD58AB"/>
    <w:rsid w:val="00E00D23"/>
    <w:rsid w:val="00E037B9"/>
    <w:rsid w:val="00E442BF"/>
    <w:rsid w:val="00E45F33"/>
    <w:rsid w:val="00E700B2"/>
    <w:rsid w:val="00E75B2A"/>
    <w:rsid w:val="00E778B7"/>
    <w:rsid w:val="00E823D4"/>
    <w:rsid w:val="00E83B96"/>
    <w:rsid w:val="00EA7027"/>
    <w:rsid w:val="00EB0A45"/>
    <w:rsid w:val="00ED569B"/>
    <w:rsid w:val="00EE6879"/>
    <w:rsid w:val="00EE777C"/>
    <w:rsid w:val="00EF4E12"/>
    <w:rsid w:val="00F10E49"/>
    <w:rsid w:val="00F247D1"/>
    <w:rsid w:val="00F33C79"/>
    <w:rsid w:val="00F36DD8"/>
    <w:rsid w:val="00F422F6"/>
    <w:rsid w:val="00F50C23"/>
    <w:rsid w:val="00F512B3"/>
    <w:rsid w:val="00F56DE1"/>
    <w:rsid w:val="00F7754F"/>
    <w:rsid w:val="00F8552D"/>
    <w:rsid w:val="00FE58FA"/>
    <w:rsid w:val="00FF01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5:docId w15:val="{745CF219-791F-4444-B468-B2810C85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paragraph" w:styleId="1">
    <w:name w:val="heading 1"/>
    <w:basedOn w:val="a"/>
    <w:next w:val="a"/>
    <w:link w:val="10"/>
    <w:uiPriority w:val="9"/>
    <w:qFormat/>
    <w:rsid w:val="008305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у виносці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і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і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ітки Знак"/>
    <w:basedOn w:val="a0"/>
    <w:link w:val="ac"/>
    <w:semiHidden/>
    <w:rsid w:val="00F10E49"/>
    <w:rPr>
      <w:rFonts w:hAnsi="Times New Roman" w:cs="Times New Roman"/>
      <w:sz w:val="20"/>
      <w:szCs w:val="20"/>
    </w:rPr>
  </w:style>
  <w:style w:type="character" w:customStyle="1" w:styleId="10">
    <w:name w:val="Заголовок 1 Знак"/>
    <w:basedOn w:val="a0"/>
    <w:link w:val="1"/>
    <w:uiPriority w:val="9"/>
    <w:rsid w:val="0083053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41673">
      <w:bodyDiv w:val="1"/>
      <w:marLeft w:val="0"/>
      <w:marRight w:val="0"/>
      <w:marTop w:val="0"/>
      <w:marBottom w:val="0"/>
      <w:divBdr>
        <w:top w:val="none" w:sz="0" w:space="0" w:color="auto"/>
        <w:left w:val="none" w:sz="0" w:space="0" w:color="auto"/>
        <w:bottom w:val="none" w:sz="0" w:space="0" w:color="auto"/>
        <w:right w:val="none" w:sz="0" w:space="0" w:color="auto"/>
      </w:divBdr>
    </w:div>
    <w:div w:id="922686143">
      <w:bodyDiv w:val="1"/>
      <w:marLeft w:val="0"/>
      <w:marRight w:val="0"/>
      <w:marTop w:val="0"/>
      <w:marBottom w:val="0"/>
      <w:divBdr>
        <w:top w:val="none" w:sz="0" w:space="0" w:color="auto"/>
        <w:left w:val="none" w:sz="0" w:space="0" w:color="auto"/>
        <w:bottom w:val="none" w:sz="0" w:space="0" w:color="auto"/>
        <w:right w:val="none" w:sz="0" w:space="0" w:color="auto"/>
      </w:divBdr>
    </w:div>
    <w:div w:id="961422958">
      <w:bodyDiv w:val="1"/>
      <w:marLeft w:val="0"/>
      <w:marRight w:val="0"/>
      <w:marTop w:val="0"/>
      <w:marBottom w:val="0"/>
      <w:divBdr>
        <w:top w:val="none" w:sz="0" w:space="0" w:color="auto"/>
        <w:left w:val="none" w:sz="0" w:space="0" w:color="auto"/>
        <w:bottom w:val="none" w:sz="0" w:space="0" w:color="auto"/>
        <w:right w:val="none" w:sz="0" w:space="0" w:color="auto"/>
      </w:divBdr>
    </w:div>
    <w:div w:id="985664803">
      <w:bodyDiv w:val="1"/>
      <w:marLeft w:val="0"/>
      <w:marRight w:val="0"/>
      <w:marTop w:val="0"/>
      <w:marBottom w:val="0"/>
      <w:divBdr>
        <w:top w:val="none" w:sz="0" w:space="0" w:color="auto"/>
        <w:left w:val="none" w:sz="0" w:space="0" w:color="auto"/>
        <w:bottom w:val="none" w:sz="0" w:space="0" w:color="auto"/>
        <w:right w:val="none" w:sz="0" w:space="0" w:color="auto"/>
      </w:divBdr>
    </w:div>
    <w:div w:id="1190293732">
      <w:bodyDiv w:val="1"/>
      <w:marLeft w:val="0"/>
      <w:marRight w:val="0"/>
      <w:marTop w:val="0"/>
      <w:marBottom w:val="0"/>
      <w:divBdr>
        <w:top w:val="none" w:sz="0" w:space="0" w:color="auto"/>
        <w:left w:val="none" w:sz="0" w:space="0" w:color="auto"/>
        <w:bottom w:val="none" w:sz="0" w:space="0" w:color="auto"/>
        <w:right w:val="none" w:sz="0" w:space="0" w:color="auto"/>
      </w:divBdr>
    </w:div>
    <w:div w:id="1260212160">
      <w:bodyDiv w:val="1"/>
      <w:marLeft w:val="0"/>
      <w:marRight w:val="0"/>
      <w:marTop w:val="0"/>
      <w:marBottom w:val="0"/>
      <w:divBdr>
        <w:top w:val="none" w:sz="0" w:space="0" w:color="auto"/>
        <w:left w:val="none" w:sz="0" w:space="0" w:color="auto"/>
        <w:bottom w:val="none" w:sz="0" w:space="0" w:color="auto"/>
        <w:right w:val="none" w:sz="0" w:space="0" w:color="auto"/>
      </w:divBdr>
    </w:div>
    <w:div w:id="1408528767">
      <w:bodyDiv w:val="1"/>
      <w:marLeft w:val="0"/>
      <w:marRight w:val="0"/>
      <w:marTop w:val="0"/>
      <w:marBottom w:val="0"/>
      <w:divBdr>
        <w:top w:val="none" w:sz="0" w:space="0" w:color="auto"/>
        <w:left w:val="none" w:sz="0" w:space="0" w:color="auto"/>
        <w:bottom w:val="none" w:sz="0" w:space="0" w:color="auto"/>
        <w:right w:val="none" w:sz="0" w:space="0" w:color="auto"/>
      </w:divBdr>
    </w:div>
    <w:div w:id="1443721549">
      <w:bodyDiv w:val="1"/>
      <w:marLeft w:val="0"/>
      <w:marRight w:val="0"/>
      <w:marTop w:val="0"/>
      <w:marBottom w:val="0"/>
      <w:divBdr>
        <w:top w:val="none" w:sz="0" w:space="0" w:color="auto"/>
        <w:left w:val="none" w:sz="0" w:space="0" w:color="auto"/>
        <w:bottom w:val="none" w:sz="0" w:space="0" w:color="auto"/>
        <w:right w:val="none" w:sz="0" w:space="0" w:color="auto"/>
      </w:divBdr>
    </w:div>
    <w:div w:id="19926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9AD87-A112-45EF-8240-C1510939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1243</Words>
  <Characters>7088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30</cp:revision>
  <cp:lastPrinted>2021-08-04T07:41:00Z</cp:lastPrinted>
  <dcterms:created xsi:type="dcterms:W3CDTF">2022-05-05T10:27:00Z</dcterms:created>
  <dcterms:modified xsi:type="dcterms:W3CDTF">2026-01-23T11:31:00Z</dcterms:modified>
</cp:coreProperties>
</file>