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F7618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74462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-2zone</w:t>
      </w:r>
    </w:p>
    <w:p w:rsidR="00F76183" w:rsidRDefault="00F76183" w:rsidP="00F76183">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EF1B1A"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82A7D" w:rsidRPr="00EF1B1A">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EF1B1A">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EF1B1A">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EF1B1A">
              <w:rPr>
                <w:rFonts w:ascii="Trebuchet MS" w:hAnsi="Trebuchet MS" w:cs="Times New Roman"/>
                <w:sz w:val="20"/>
                <w:szCs w:val="20"/>
                <w:lang w:val="uk-UA"/>
              </w:rPr>
              <w:t>:</w:t>
            </w:r>
          </w:p>
          <w:p w:rsidR="00745B26" w:rsidRDefault="00745B26" w:rsidP="00745B26">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w:t>
            </w:r>
            <w:proofErr w:type="spellStart"/>
            <w:r>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фіксовані</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ціни</w:t>
            </w:r>
            <w:proofErr w:type="spellEnd"/>
            <w:r>
              <w:rPr>
                <w:rFonts w:ascii="Trebuchet MS" w:hAnsi="Trebuchet MS" w:cs="Times New Roman"/>
                <w:b/>
                <w:sz w:val="20"/>
                <w:szCs w:val="20"/>
                <w:lang w:val="ru-RU"/>
              </w:rPr>
              <w:t xml:space="preserve">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745B26" w:rsidRPr="00745B26" w:rsidRDefault="00745B26"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w:t>
            </w:r>
            <w:proofErr w:type="spellStart"/>
            <w:r w:rsidR="00D355D8">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593AC3" w:rsidRPr="00EF05CD"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303B46">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303B46">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303B46">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303B46">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EF05CD" w:rsidRPr="005F499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303B46">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bookmarkStart w:id="1" w:name="_GoBack"/>
            <w:bookmarkEnd w:id="1"/>
          </w:p>
          <w:p w:rsidR="00EF05CD" w:rsidRPr="004F11A1" w:rsidRDefault="00EF05CD" w:rsidP="00EF05C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303B46">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EF1B1A"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hyperlink r:id="rId4" w:history="1">
              <w:r w:rsidR="00EF1B1A" w:rsidRPr="0039486A">
                <w:rPr>
                  <w:rStyle w:val="a7"/>
                  <w:rFonts w:ascii="Trebuchet MS" w:eastAsia="Times New Roman" w:hAnsi="Trebuchet MS" w:cs="Times New Roman"/>
                  <w:sz w:val="20"/>
                  <w:szCs w:val="20"/>
                  <w:lang w:val="uk-UA" w:eastAsia="uk-UA"/>
                </w:rPr>
                <w:t>http://sm.enera.ua/</w:t>
              </w:r>
            </w:hyperlink>
            <w:r w:rsidR="00EF1B1A">
              <w:rPr>
                <w:rFonts w:ascii="Trebuchet MS" w:eastAsia="Times New Roman" w:hAnsi="Trebuchet MS" w:cs="Times New Roman"/>
                <w:sz w:val="20"/>
                <w:szCs w:val="20"/>
                <w:lang w:val="uk-UA" w:eastAsia="uk-UA"/>
              </w:rPr>
              <w:t>.</w:t>
            </w:r>
          </w:p>
          <w:p w:rsidR="00F76183" w:rsidRDefault="00F76183"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593AC3" w:rsidRPr="002D6332" w:rsidRDefault="00946C97" w:rsidP="00EF1B1A">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EF05CD"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EF05CD"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EF05CD"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EF05CD"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EF05CD"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EF05CD"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Пільги, субсидії надаються у розмірі та порядку, визначеному </w:t>
            </w:r>
            <w:r w:rsidRPr="00500413">
              <w:rPr>
                <w:rFonts w:ascii="Trebuchet MS" w:eastAsia="Times New Roman" w:hAnsi="Trebuchet MS" w:cs="Times New Roman"/>
                <w:sz w:val="20"/>
                <w:szCs w:val="20"/>
                <w:lang w:val="uk-UA"/>
              </w:rPr>
              <w:lastRenderedPageBreak/>
              <w:t>чинним законодавством України.</w:t>
            </w:r>
          </w:p>
        </w:tc>
      </w:tr>
      <w:tr w:rsidR="00480085" w:rsidRPr="00EF05CD"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EF05CD"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43FA5"/>
    <w:rsid w:val="00053514"/>
    <w:rsid w:val="00065221"/>
    <w:rsid w:val="00101705"/>
    <w:rsid w:val="001112FD"/>
    <w:rsid w:val="001A345C"/>
    <w:rsid w:val="001D077C"/>
    <w:rsid w:val="00207ECB"/>
    <w:rsid w:val="002C29EE"/>
    <w:rsid w:val="002E374A"/>
    <w:rsid w:val="00303B46"/>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B5BEC"/>
    <w:rsid w:val="006C7340"/>
    <w:rsid w:val="006D380E"/>
    <w:rsid w:val="006F16D0"/>
    <w:rsid w:val="00744629"/>
    <w:rsid w:val="00745B26"/>
    <w:rsid w:val="00777A70"/>
    <w:rsid w:val="00797DAA"/>
    <w:rsid w:val="007D6D90"/>
    <w:rsid w:val="007E3EA5"/>
    <w:rsid w:val="00893C8C"/>
    <w:rsid w:val="008C5A65"/>
    <w:rsid w:val="008F73B2"/>
    <w:rsid w:val="00946C97"/>
    <w:rsid w:val="009B2B83"/>
    <w:rsid w:val="00A036F7"/>
    <w:rsid w:val="00A82A7D"/>
    <w:rsid w:val="00AA06B3"/>
    <w:rsid w:val="00AB4B94"/>
    <w:rsid w:val="00AE06CD"/>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355F4"/>
    <w:rsid w:val="00D85801"/>
    <w:rsid w:val="00DE16C5"/>
    <w:rsid w:val="00E02FC6"/>
    <w:rsid w:val="00E04743"/>
    <w:rsid w:val="00E92AE4"/>
    <w:rsid w:val="00EF05CD"/>
    <w:rsid w:val="00EF1B1A"/>
    <w:rsid w:val="00EF4313"/>
    <w:rsid w:val="00EF7BE3"/>
    <w:rsid w:val="00F11B96"/>
    <w:rsid w:val="00F70DB4"/>
    <w:rsid w:val="00F76183"/>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FA38"/>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EF1B1A"/>
    <w:rPr>
      <w:color w:val="0563C1" w:themeColor="hyperlink"/>
      <w:u w:val="single"/>
    </w:rPr>
  </w:style>
  <w:style w:type="character" w:customStyle="1" w:styleId="1">
    <w:name w:val="Неразрешенное упоминание1"/>
    <w:basedOn w:val="a0"/>
    <w:uiPriority w:val="99"/>
    <w:semiHidden/>
    <w:unhideWhenUsed/>
    <w:rsid w:val="00EF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15325484">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705522809">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32</cp:revision>
  <cp:lastPrinted>2022-05-05T10:30:00Z</cp:lastPrinted>
  <dcterms:created xsi:type="dcterms:W3CDTF">2024-01-16T09:37:00Z</dcterms:created>
  <dcterms:modified xsi:type="dcterms:W3CDTF">2025-08-08T11:03:00Z</dcterms:modified>
</cp:coreProperties>
</file>