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r w:rsidR="007E22CB">
        <w:rPr>
          <w:rFonts w:ascii="Trebuchet MS" w:eastAsia="Times New Roman" w:hAnsi="Trebuchet MS" w:cs="Times New Roman"/>
          <w:b/>
          <w:bCs/>
          <w:sz w:val="20"/>
          <w:szCs w:val="20"/>
          <w:lang w:val="uk-UA"/>
        </w:rPr>
        <w:t>нг</w:t>
      </w:r>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C30399"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1F72B3"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shd w:val="clear" w:color="auto" w:fill="auto"/>
            <w:tcMar>
              <w:top w:w="0" w:type="dxa"/>
              <w:left w:w="113" w:type="dxa"/>
              <w:bottom w:w="0" w:type="dxa"/>
              <w:right w:w="108" w:type="dxa"/>
            </w:tcMar>
            <w:hideMark/>
          </w:tcPr>
          <w:p w:rsidR="00E344BB" w:rsidRPr="004600E1"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4600E1">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57277E">
              <w:rPr>
                <w:rFonts w:ascii="Trebuchet MS" w:hAnsi="Trebuchet MS" w:cs="Times New Roman"/>
                <w:sz w:val="20"/>
                <w:szCs w:val="20"/>
                <w:lang w:val="uk-UA"/>
              </w:rPr>
              <w:t>1331</w:t>
            </w:r>
            <w:r w:rsidR="00F1072F">
              <w:rPr>
                <w:rFonts w:ascii="Trebuchet MS" w:hAnsi="Trebuchet MS" w:cs="Times New Roman"/>
                <w:sz w:val="20"/>
                <w:szCs w:val="20"/>
                <w:lang w:val="uk-UA"/>
              </w:rPr>
              <w:t xml:space="preserve"> від 2</w:t>
            </w:r>
            <w:r w:rsidR="0057277E">
              <w:rPr>
                <w:rFonts w:ascii="Trebuchet MS" w:hAnsi="Trebuchet MS" w:cs="Times New Roman"/>
                <w:sz w:val="20"/>
                <w:szCs w:val="20"/>
                <w:lang w:val="uk-UA"/>
              </w:rPr>
              <w:t>2</w:t>
            </w:r>
            <w:r w:rsidR="00F1072F">
              <w:rPr>
                <w:rFonts w:ascii="Trebuchet MS" w:hAnsi="Trebuchet MS" w:cs="Times New Roman"/>
                <w:sz w:val="20"/>
                <w:szCs w:val="20"/>
                <w:lang w:val="uk-UA"/>
              </w:rPr>
              <w:t xml:space="preserve"> </w:t>
            </w:r>
            <w:r w:rsidR="0057277E">
              <w:rPr>
                <w:rFonts w:ascii="Trebuchet MS" w:hAnsi="Trebuchet MS" w:cs="Times New Roman"/>
                <w:sz w:val="20"/>
                <w:szCs w:val="20"/>
                <w:lang w:val="uk-UA"/>
              </w:rPr>
              <w:t>жовтня</w:t>
            </w:r>
            <w:r w:rsidR="00F1072F">
              <w:rPr>
                <w:rFonts w:ascii="Trebuchet MS" w:hAnsi="Trebuchet MS" w:cs="Times New Roman"/>
                <w:sz w:val="20"/>
                <w:szCs w:val="20"/>
                <w:lang w:val="uk-UA"/>
              </w:rPr>
              <w:t xml:space="preserve"> 2025 року</w:t>
            </w:r>
            <w:r w:rsidR="00F1072F" w:rsidRPr="004600E1">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4600E1">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4600E1">
              <w:rPr>
                <w:rFonts w:ascii="Trebuchet MS" w:hAnsi="Trebuchet MS" w:cs="Times New Roman"/>
                <w:sz w:val="20"/>
                <w:szCs w:val="20"/>
                <w:lang w:val="uk-UA"/>
              </w:rPr>
              <w:t>:</w:t>
            </w:r>
          </w:p>
          <w:p w:rsidR="00AB1414" w:rsidRDefault="00AB1414" w:rsidP="00AB1414">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(включно) фіксовані ціни на електричну енергію для побутових споживачів становлять:</w:t>
            </w:r>
          </w:p>
          <w:p w:rsidR="00AB1414" w:rsidRPr="00AB1414" w:rsidRDefault="00AB1414" w:rsidP="002D6332">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57277E">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sidR="0057277E">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57277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354815">
              <w:rPr>
                <w:rFonts w:ascii="Trebuchet MS" w:hAnsi="Trebuchet MS" w:cs="Times New Roman"/>
                <w:sz w:val="20"/>
                <w:szCs w:val="20"/>
                <w:lang w:val="ru-RU"/>
              </w:rPr>
              <w:t xml:space="preserve">, за весь </w:t>
            </w:r>
            <w:proofErr w:type="spellStart"/>
            <w:r w:rsidR="00354815">
              <w:rPr>
                <w:rFonts w:ascii="Trebuchet MS" w:hAnsi="Trebuchet MS" w:cs="Times New Roman"/>
                <w:sz w:val="20"/>
                <w:szCs w:val="20"/>
                <w:lang w:val="ru-RU"/>
              </w:rPr>
              <w:t>обсяг</w:t>
            </w:r>
            <w:proofErr w:type="spellEnd"/>
            <w:r w:rsidR="00354815">
              <w:rPr>
                <w:rFonts w:ascii="Trebuchet MS" w:hAnsi="Trebuchet MS" w:cs="Times New Roman"/>
                <w:sz w:val="20"/>
                <w:szCs w:val="20"/>
                <w:lang w:val="ru-RU"/>
              </w:rPr>
              <w:t xml:space="preserve"> </w:t>
            </w:r>
            <w:proofErr w:type="spellStart"/>
            <w:r w:rsidR="00354815">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C2004" w:rsidRPr="0057277E"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1F72B3" w:rsidRPr="00C30399" w:rsidTr="002D6332">
        <w:trPr>
          <w:tblCellSpacing w:w="0" w:type="dxa"/>
        </w:trPr>
        <w:tc>
          <w:tcPr>
            <w:tcW w:w="3261" w:type="dxa"/>
            <w:shd w:val="clear" w:color="auto" w:fill="auto"/>
            <w:tcMar>
              <w:top w:w="0" w:type="dxa"/>
              <w:left w:w="113" w:type="dxa"/>
              <w:bottom w:w="0" w:type="dxa"/>
              <w:right w:w="108" w:type="dxa"/>
            </w:tcMar>
          </w:tcPr>
          <w:p w:rsidR="001F72B3" w:rsidRPr="00B8581A" w:rsidRDefault="001F72B3"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467734">
              <w:rPr>
                <w:rFonts w:ascii="Trebuchet MS" w:eastAsia="Times New Roman" w:hAnsi="Trebuchet MS" w:cs="Times New Roman"/>
                <w:b/>
                <w:sz w:val="20"/>
                <w:szCs w:val="20"/>
                <w:lang w:val="uk-UA" w:eastAsia="uk-UA"/>
              </w:rPr>
              <w:t>грудень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67734">
              <w:rPr>
                <w:rFonts w:ascii="Trebuchet MS" w:eastAsia="Times New Roman" w:hAnsi="Trebuchet MS" w:cs="Times New Roman"/>
                <w:b/>
                <w:sz w:val="20"/>
                <w:szCs w:val="20"/>
                <w:lang w:val="uk-UA" w:eastAsia="uk-UA"/>
              </w:rPr>
              <w:t>6,47575</w:t>
            </w:r>
            <w:r w:rsidRPr="005F4991">
              <w:rPr>
                <w:rFonts w:ascii="Trebuchet MS" w:eastAsia="Times New Roman" w:hAnsi="Trebuchet MS" w:cs="Times New Roman"/>
                <w:b/>
                <w:sz w:val="20"/>
                <w:szCs w:val="20"/>
                <w:lang w:val="uk-UA" w:eastAsia="uk-UA"/>
              </w:rPr>
              <w:t xml:space="preserve"> грн/кВт*год (без ПДВ);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67734">
              <w:rPr>
                <w:rFonts w:ascii="Trebuchet MS" w:eastAsia="Times New Roman" w:hAnsi="Trebuchet MS" w:cs="Times New Roman"/>
                <w:b/>
                <w:sz w:val="20"/>
                <w:szCs w:val="20"/>
                <w:lang w:val="uk-UA" w:eastAsia="uk-UA"/>
              </w:rPr>
              <w:t>8,76978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467734">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67734">
              <w:rPr>
                <w:rFonts w:ascii="Trebuchet MS" w:eastAsia="Times New Roman" w:hAnsi="Trebuchet MS" w:cs="Times New Roman"/>
                <w:b/>
                <w:sz w:val="20"/>
                <w:szCs w:val="20"/>
                <w:lang w:val="uk-UA" w:eastAsia="uk-UA"/>
              </w:rPr>
              <w:t>6,52439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C30399" w:rsidRPr="004F11A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67734">
              <w:rPr>
                <w:rFonts w:ascii="Trebuchet MS" w:eastAsia="Times New Roman" w:hAnsi="Trebuchet MS" w:cs="Times New Roman"/>
                <w:b/>
                <w:sz w:val="20"/>
                <w:szCs w:val="20"/>
                <w:lang w:val="uk-UA" w:eastAsia="uk-UA"/>
              </w:rPr>
              <w:t>7,87720</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600E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4600E1" w:rsidRPr="001A78C0">
                <w:rPr>
                  <w:rStyle w:val="a7"/>
                  <w:rFonts w:ascii="Trebuchet MS" w:eastAsia="Times New Roman" w:hAnsi="Trebuchet MS" w:cs="Times New Roman"/>
                  <w:sz w:val="20"/>
                  <w:szCs w:val="20"/>
                  <w:lang w:val="uk-UA" w:eastAsia="uk-UA"/>
                </w:rPr>
                <w:t>http://sm.enera.ua/</w:t>
              </w:r>
            </w:hyperlink>
            <w:r w:rsidR="004600E1">
              <w:rPr>
                <w:rFonts w:ascii="Trebuchet MS" w:eastAsia="Times New Roman" w:hAnsi="Trebuchet MS" w:cs="Times New Roman"/>
                <w:sz w:val="20"/>
                <w:szCs w:val="20"/>
                <w:lang w:val="uk-UA" w:eastAsia="uk-UA"/>
              </w:rPr>
              <w:t>.</w:t>
            </w:r>
          </w:p>
          <w:p w:rsidR="001F72B3" w:rsidRPr="002D6332" w:rsidRDefault="00A42037" w:rsidP="00A42037">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C30399"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C30399"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C30399"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B8581A">
              <w:rPr>
                <w:rFonts w:ascii="Trebuchet MS" w:eastAsia="Times New Roman" w:hAnsi="Trebuchet MS" w:cs="Times New Roman"/>
                <w:b/>
                <w:bCs/>
                <w:sz w:val="20"/>
                <w:szCs w:val="20"/>
                <w:bdr w:val="none" w:sz="0" w:space="0" w:color="auto" w:frame="1"/>
                <w:lang w:val="ru-RU" w:eastAsia="uk-UA"/>
              </w:rPr>
              <w:t>Можливість</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C30399"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w:t>
            </w:r>
            <w:r w:rsidRPr="0073178F">
              <w:rPr>
                <w:rFonts w:ascii="Trebuchet MS" w:hAnsi="Trebuchet MS"/>
                <w:sz w:val="20"/>
                <w:szCs w:val="20"/>
                <w:lang w:val="ru-RU"/>
              </w:rPr>
              <w:lastRenderedPageBreak/>
              <w:t>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C30399"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091717">
      <w:pgSz w:w="12240" w:h="15840"/>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3364"/>
    <w:rsid w:val="0003715C"/>
    <w:rsid w:val="00071FA1"/>
    <w:rsid w:val="00091717"/>
    <w:rsid w:val="000D371E"/>
    <w:rsid w:val="000D4755"/>
    <w:rsid w:val="000D5DA6"/>
    <w:rsid w:val="001B6743"/>
    <w:rsid w:val="001D06C3"/>
    <w:rsid w:val="001D077C"/>
    <w:rsid w:val="001F72B3"/>
    <w:rsid w:val="00205234"/>
    <w:rsid w:val="002124B7"/>
    <w:rsid w:val="002C29EE"/>
    <w:rsid w:val="002D6332"/>
    <w:rsid w:val="00354815"/>
    <w:rsid w:val="003578F3"/>
    <w:rsid w:val="00365ECC"/>
    <w:rsid w:val="003D4179"/>
    <w:rsid w:val="00430AB5"/>
    <w:rsid w:val="00452C2E"/>
    <w:rsid w:val="004600E1"/>
    <w:rsid w:val="004620AB"/>
    <w:rsid w:val="00467734"/>
    <w:rsid w:val="00471832"/>
    <w:rsid w:val="00477C2C"/>
    <w:rsid w:val="0049617E"/>
    <w:rsid w:val="004C5BB7"/>
    <w:rsid w:val="0057277E"/>
    <w:rsid w:val="005A054D"/>
    <w:rsid w:val="005A79F4"/>
    <w:rsid w:val="005C2004"/>
    <w:rsid w:val="006403CA"/>
    <w:rsid w:val="00646933"/>
    <w:rsid w:val="00662331"/>
    <w:rsid w:val="006C7340"/>
    <w:rsid w:val="006D278D"/>
    <w:rsid w:val="0073178F"/>
    <w:rsid w:val="00770AEE"/>
    <w:rsid w:val="007742D8"/>
    <w:rsid w:val="007C7457"/>
    <w:rsid w:val="007E22CB"/>
    <w:rsid w:val="00827E02"/>
    <w:rsid w:val="008A304F"/>
    <w:rsid w:val="00944FA6"/>
    <w:rsid w:val="00963DCA"/>
    <w:rsid w:val="00990780"/>
    <w:rsid w:val="009E3C93"/>
    <w:rsid w:val="009F1E28"/>
    <w:rsid w:val="009F2670"/>
    <w:rsid w:val="00A10C7E"/>
    <w:rsid w:val="00A15C53"/>
    <w:rsid w:val="00A42037"/>
    <w:rsid w:val="00AB1414"/>
    <w:rsid w:val="00B23CD0"/>
    <w:rsid w:val="00B274A5"/>
    <w:rsid w:val="00B429CE"/>
    <w:rsid w:val="00B46B38"/>
    <w:rsid w:val="00B54D5F"/>
    <w:rsid w:val="00B56C15"/>
    <w:rsid w:val="00B8288B"/>
    <w:rsid w:val="00B8581A"/>
    <w:rsid w:val="00B8681C"/>
    <w:rsid w:val="00C23759"/>
    <w:rsid w:val="00C30399"/>
    <w:rsid w:val="00CA7713"/>
    <w:rsid w:val="00CB2BC4"/>
    <w:rsid w:val="00CC1836"/>
    <w:rsid w:val="00CD1595"/>
    <w:rsid w:val="00D014C6"/>
    <w:rsid w:val="00D20EEB"/>
    <w:rsid w:val="00D97A90"/>
    <w:rsid w:val="00DB6EC1"/>
    <w:rsid w:val="00E0220C"/>
    <w:rsid w:val="00E23862"/>
    <w:rsid w:val="00E344BB"/>
    <w:rsid w:val="00E420AC"/>
    <w:rsid w:val="00E47294"/>
    <w:rsid w:val="00E52A6A"/>
    <w:rsid w:val="00E92AE4"/>
    <w:rsid w:val="00F031EA"/>
    <w:rsid w:val="00F1072F"/>
    <w:rsid w:val="00F22F72"/>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BFE6"/>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4600E1"/>
    <w:rPr>
      <w:color w:val="0563C1" w:themeColor="hyperlink"/>
      <w:u w:val="single"/>
    </w:rPr>
  </w:style>
  <w:style w:type="character" w:customStyle="1" w:styleId="1">
    <w:name w:val="Неразрешенное упоминание1"/>
    <w:basedOn w:val="a0"/>
    <w:uiPriority w:val="99"/>
    <w:semiHidden/>
    <w:unhideWhenUsed/>
    <w:rsid w:val="0046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133699">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48723989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01477158">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36</cp:revision>
  <cp:lastPrinted>2024-01-16T09:28:00Z</cp:lastPrinted>
  <dcterms:created xsi:type="dcterms:W3CDTF">2024-01-16T09:36:00Z</dcterms:created>
  <dcterms:modified xsi:type="dcterms:W3CDTF">2025-11-11T06:12:00Z</dcterms:modified>
</cp:coreProperties>
</file>