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A1" w:rsidRPr="009F43A1" w:rsidRDefault="009F43A1" w:rsidP="009F43A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880037" w:rsidRDefault="009F43A1" w:rsidP="00880037">
      <w:pPr>
        <w:spacing w:after="0" w:line="240" w:lineRule="auto"/>
        <w:ind w:left="-142"/>
        <w:jc w:val="center"/>
        <w:rPr>
          <w:rFonts w:ascii="Trebuchet MS" w:eastAsia="Calibri" w:hAnsi="Trebuchet MS" w:cs="Times New Roman"/>
          <w:b/>
          <w:lang w:eastAsia="ru-RU"/>
        </w:rPr>
      </w:pPr>
      <w:r w:rsidRPr="009F43A1">
        <w:rPr>
          <w:rFonts w:ascii="Trebuchet MS" w:eastAsia="Calibri" w:hAnsi="Trebuchet MS" w:cs="Times New Roman"/>
          <w:b/>
          <w:lang w:eastAsia="ru-RU"/>
        </w:rPr>
        <w:t>Результати моніторингу дотримання стандартів та вимог до якос</w:t>
      </w:r>
      <w:r w:rsidR="00336695">
        <w:rPr>
          <w:rFonts w:ascii="Trebuchet MS" w:eastAsia="Calibri" w:hAnsi="Trebuchet MS" w:cs="Times New Roman"/>
          <w:b/>
          <w:lang w:eastAsia="ru-RU"/>
        </w:rPr>
        <w:t>ті о</w:t>
      </w:r>
      <w:r w:rsidR="000B47C6">
        <w:rPr>
          <w:rFonts w:ascii="Trebuchet MS" w:eastAsia="Calibri" w:hAnsi="Trebuchet MS" w:cs="Times New Roman"/>
          <w:b/>
          <w:lang w:eastAsia="ru-RU"/>
        </w:rPr>
        <w:t xml:space="preserve">бслуговування споживачів </w:t>
      </w:r>
    </w:p>
    <w:p w:rsidR="009F43A1" w:rsidRPr="009F43A1" w:rsidRDefault="00880037" w:rsidP="00880037">
      <w:pPr>
        <w:spacing w:after="0" w:line="240" w:lineRule="auto"/>
        <w:ind w:left="-142"/>
        <w:jc w:val="center"/>
        <w:rPr>
          <w:rFonts w:ascii="Trebuchet MS" w:eastAsia="Calibri" w:hAnsi="Trebuchet MS" w:cs="Times New Roman"/>
          <w:b/>
          <w:lang w:eastAsia="ru-RU"/>
        </w:rPr>
      </w:pPr>
      <w:r w:rsidRPr="00880037">
        <w:rPr>
          <w:rFonts w:ascii="Trebuchet MS" w:eastAsia="Calibri" w:hAnsi="Trebuchet MS" w:cs="Times New Roman"/>
          <w:b/>
          <w:lang w:eastAsia="ru-RU"/>
        </w:rPr>
        <w:t xml:space="preserve">ТОВ "ЕНЕРА СУМИ" </w:t>
      </w:r>
      <w:r w:rsidR="000B47C6">
        <w:rPr>
          <w:rFonts w:ascii="Trebuchet MS" w:eastAsia="Calibri" w:hAnsi="Trebuchet MS" w:cs="Times New Roman"/>
          <w:b/>
          <w:lang w:eastAsia="ru-RU"/>
        </w:rPr>
        <w:t xml:space="preserve">за </w:t>
      </w:r>
      <w:r w:rsidR="000B47C6">
        <w:rPr>
          <w:rFonts w:ascii="Trebuchet MS" w:eastAsia="Calibri" w:hAnsi="Trebuchet MS" w:cs="Times New Roman"/>
          <w:b/>
          <w:lang w:val="en-US" w:eastAsia="ru-RU"/>
        </w:rPr>
        <w:t>I</w:t>
      </w:r>
      <w:r w:rsidR="00560014">
        <w:rPr>
          <w:rFonts w:ascii="Trebuchet MS" w:eastAsia="Calibri" w:hAnsi="Trebuchet MS" w:cs="Times New Roman"/>
          <w:b/>
          <w:lang w:eastAsia="ru-RU"/>
        </w:rPr>
        <w:t>І</w:t>
      </w:r>
      <w:r w:rsidR="000B47C6" w:rsidRPr="000B47C6">
        <w:rPr>
          <w:rFonts w:ascii="Trebuchet MS" w:eastAsia="Calibri" w:hAnsi="Trebuchet MS" w:cs="Times New Roman"/>
          <w:b/>
          <w:lang w:val="ru-RU" w:eastAsia="ru-RU"/>
        </w:rPr>
        <w:t xml:space="preserve"> </w:t>
      </w:r>
      <w:r>
        <w:rPr>
          <w:rFonts w:ascii="Trebuchet MS" w:eastAsia="Calibri" w:hAnsi="Trebuchet MS" w:cs="Times New Roman"/>
          <w:b/>
          <w:lang w:eastAsia="ru-RU"/>
        </w:rPr>
        <w:t>квартал 2026 року</w:t>
      </w:r>
    </w:p>
    <w:p w:rsidR="009F43A1" w:rsidRPr="009F43A1" w:rsidRDefault="009F43A1" w:rsidP="009F43A1">
      <w:pPr>
        <w:spacing w:after="0" w:line="240" w:lineRule="auto"/>
        <w:rPr>
          <w:rFonts w:ascii="Trebuchet MS" w:eastAsia="Calibri" w:hAnsi="Trebuchet MS" w:cs="Times New Roman"/>
          <w:b/>
          <w:sz w:val="16"/>
          <w:szCs w:val="16"/>
          <w:lang w:eastAsia="ru-RU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1630"/>
        <w:gridCol w:w="1489"/>
        <w:gridCol w:w="1275"/>
        <w:gridCol w:w="1418"/>
        <w:gridCol w:w="1276"/>
        <w:gridCol w:w="1388"/>
        <w:gridCol w:w="29"/>
        <w:gridCol w:w="1276"/>
      </w:tblGrid>
      <w:tr w:rsidR="009F43A1" w:rsidRPr="009F43A1" w:rsidTr="00F72DB0">
        <w:trPr>
          <w:trHeight w:val="281"/>
        </w:trPr>
        <w:tc>
          <w:tcPr>
            <w:tcW w:w="5736" w:type="dxa"/>
            <w:gridSpan w:val="2"/>
            <w:vMerge w:val="restart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Стандарт</w:t>
            </w:r>
          </w:p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Загальні стандарти</w:t>
            </w:r>
          </w:p>
        </w:tc>
        <w:tc>
          <w:tcPr>
            <w:tcW w:w="5387" w:type="dxa"/>
            <w:gridSpan w:val="5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Гарантовані стандарти</w:t>
            </w:r>
          </w:p>
        </w:tc>
      </w:tr>
      <w:tr w:rsidR="009F43A1" w:rsidRPr="009F43A1" w:rsidTr="00F72DB0">
        <w:tc>
          <w:tcPr>
            <w:tcW w:w="5736" w:type="dxa"/>
            <w:gridSpan w:val="2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 w:val="restart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встановлений НКРЕКП рівень</w:t>
            </w:r>
          </w:p>
        </w:tc>
        <w:tc>
          <w:tcPr>
            <w:tcW w:w="1275" w:type="dxa"/>
            <w:vMerge w:val="restart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фактичний рівень виконання, %</w:t>
            </w:r>
          </w:p>
        </w:tc>
        <w:tc>
          <w:tcPr>
            <w:tcW w:w="1418" w:type="dxa"/>
            <w:vMerge w:val="restart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 xml:space="preserve">сума компенсацій, виплачена споживачам у звітному періоді, тис. грн </w:t>
            </w:r>
          </w:p>
        </w:tc>
        <w:tc>
          <w:tcPr>
            <w:tcW w:w="3969" w:type="dxa"/>
            <w:gridSpan w:val="4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кількість випадків надання компенсації споживачам</w:t>
            </w:r>
          </w:p>
        </w:tc>
      </w:tr>
      <w:tr w:rsidR="009F43A1" w:rsidRPr="009F43A1" w:rsidTr="00F72DB0">
        <w:tc>
          <w:tcPr>
            <w:tcW w:w="5736" w:type="dxa"/>
            <w:gridSpan w:val="2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побутовим</w:t>
            </w:r>
          </w:p>
        </w:tc>
        <w:tc>
          <w:tcPr>
            <w:tcW w:w="2693" w:type="dxa"/>
            <w:gridSpan w:val="3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непобутовим</w:t>
            </w:r>
          </w:p>
        </w:tc>
      </w:tr>
      <w:tr w:rsidR="009F43A1" w:rsidRPr="009F43A1" w:rsidTr="00F72DB0">
        <w:tc>
          <w:tcPr>
            <w:tcW w:w="5736" w:type="dxa"/>
            <w:gridSpan w:val="2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малим непобутовим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іншим</w:t>
            </w:r>
          </w:p>
        </w:tc>
      </w:tr>
      <w:tr w:rsidR="009F43A1" w:rsidRPr="009F43A1" w:rsidTr="00F72DB0">
        <w:tc>
          <w:tcPr>
            <w:tcW w:w="5736" w:type="dxa"/>
            <w:gridSpan w:val="2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Рівень сервісу </w:t>
            </w:r>
            <w:proofErr w:type="spellStart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кол</w:t>
            </w:r>
            <w:proofErr w:type="spellEnd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-центру протягом 30 секунд</w:t>
            </w:r>
          </w:p>
        </w:tc>
        <w:tc>
          <w:tcPr>
            <w:tcW w:w="1489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75 %</w:t>
            </w:r>
          </w:p>
        </w:tc>
        <w:tc>
          <w:tcPr>
            <w:tcW w:w="1275" w:type="dxa"/>
            <w:shd w:val="clear" w:color="auto" w:fill="auto"/>
          </w:tcPr>
          <w:p w:rsidR="009F43A1" w:rsidRPr="009F43A1" w:rsidRDefault="00560014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92,15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</w:tr>
      <w:tr w:rsidR="000B47C6" w:rsidRPr="009F43A1" w:rsidTr="00F72DB0">
        <w:tc>
          <w:tcPr>
            <w:tcW w:w="5736" w:type="dxa"/>
            <w:gridSpan w:val="2"/>
          </w:tcPr>
          <w:p w:rsidR="000B47C6" w:rsidRPr="009F43A1" w:rsidRDefault="000B47C6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0B47C6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Відсоток втрачених у черзі дзвінків </w:t>
            </w:r>
            <w:proofErr w:type="spellStart"/>
            <w:r w:rsidRPr="000B47C6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кол</w:t>
            </w:r>
            <w:proofErr w:type="spellEnd"/>
            <w:r w:rsidRPr="000B47C6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-центру</w:t>
            </w:r>
          </w:p>
        </w:tc>
        <w:tc>
          <w:tcPr>
            <w:tcW w:w="1489" w:type="dxa"/>
            <w:vAlign w:val="center"/>
          </w:tcPr>
          <w:p w:rsidR="000B47C6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0B47C6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10 %</w:t>
            </w:r>
          </w:p>
        </w:tc>
        <w:tc>
          <w:tcPr>
            <w:tcW w:w="1275" w:type="dxa"/>
            <w:shd w:val="clear" w:color="auto" w:fill="auto"/>
          </w:tcPr>
          <w:p w:rsidR="000B47C6" w:rsidRDefault="00560014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0B47C6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0B47C6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0B47C6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0B47C6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</w:tr>
      <w:tr w:rsidR="009F43A1" w:rsidRPr="009F43A1" w:rsidTr="00F72DB0">
        <w:tc>
          <w:tcPr>
            <w:tcW w:w="5736" w:type="dxa"/>
            <w:gridSpan w:val="2"/>
          </w:tcPr>
          <w:p w:rsidR="009F43A1" w:rsidRPr="009F43A1" w:rsidRDefault="000B47C6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0B47C6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Оцінка задоволеності споживачів</w:t>
            </w:r>
          </w:p>
        </w:tc>
        <w:tc>
          <w:tcPr>
            <w:tcW w:w="1489" w:type="dxa"/>
            <w:vAlign w:val="center"/>
          </w:tcPr>
          <w:p w:rsidR="009F43A1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60 %</w:t>
            </w:r>
          </w:p>
        </w:tc>
        <w:tc>
          <w:tcPr>
            <w:tcW w:w="1275" w:type="dxa"/>
            <w:shd w:val="clear" w:color="auto" w:fill="auto"/>
          </w:tcPr>
          <w:p w:rsidR="009F43A1" w:rsidRPr="009F43A1" w:rsidRDefault="00560014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98,38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Надання даних про споживання електричної енергії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5 роб. днів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Розгляд звернень/скарг/претензій споживачів 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30 днів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Р</w:t>
            </w: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озгляд звернень/скарг/претензій споживачів, якщо під час розгляду звернення необхідно здійснити технічну перевірку або провести експертизу засобу обліку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45 днів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Розгляд звернень споживачів щод</w:t>
            </w:r>
            <w:r w:rsidR="00D62544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о перевірки правильності рахунка за електричну енергію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5 роб. днів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Урахування суми відповідної компенсації за недотримання гарантованих стан</w:t>
            </w:r>
            <w:r w:rsidR="004D20C4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дартів якості надання послуг оператора системи в</w:t>
            </w: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 кінцевому рахунку споживача за електричну енергію 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30 днів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Виставлення рахунка</w:t>
            </w:r>
          </w:p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proofErr w:type="spellStart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електропостачальником</w:t>
            </w:r>
            <w:proofErr w:type="spellEnd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 (у паперовій або електронній формі)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Строк, визначений договором та/або ПРРЕЕ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5736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Виставлення рахунка </w:t>
            </w:r>
            <w:proofErr w:type="spellStart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електропостачальником</w:t>
            </w:r>
            <w:proofErr w:type="spellEnd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 з правильними даними щодо ціни, вартості та обсягу спожитої електричної енергії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5736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Разом: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</w:tr>
      <w:tr w:rsidR="009F43A1" w:rsidRPr="009F43A1" w:rsidTr="00F72DB0">
        <w:tc>
          <w:tcPr>
            <w:tcW w:w="5736" w:type="dxa"/>
            <w:gridSpan w:val="2"/>
            <w:vAlign w:val="center"/>
          </w:tcPr>
          <w:p w:rsidR="009F43A1" w:rsidRPr="008C2EE7" w:rsidRDefault="009F43A1" w:rsidP="009F43A1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Сума компенсацій за недотримання гарантованих стан</w:t>
            </w:r>
            <w:r w:rsidR="004D20C4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дартів якості надання послуг оператора системи</w:t>
            </w:r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, урахована </w:t>
            </w:r>
            <w:proofErr w:type="spellStart"/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електропостачальником</w:t>
            </w:r>
            <w:proofErr w:type="spellEnd"/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 у кінцевих рахунках споживачів* 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8C2EE7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8C2EE7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8C2EE7" w:rsidRDefault="00D61FCE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0,154</w:t>
            </w:r>
          </w:p>
        </w:tc>
        <w:tc>
          <w:tcPr>
            <w:tcW w:w="1276" w:type="dxa"/>
            <w:vAlign w:val="center"/>
          </w:tcPr>
          <w:p w:rsidR="009F43A1" w:rsidRPr="008C2EE7" w:rsidRDefault="00D61FCE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vAlign w:val="center"/>
          </w:tcPr>
          <w:p w:rsidR="009F43A1" w:rsidRPr="008C2EE7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305" w:type="dxa"/>
            <w:gridSpan w:val="2"/>
            <w:vAlign w:val="center"/>
          </w:tcPr>
          <w:p w:rsidR="009F43A1" w:rsidRPr="008C2EE7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43A1" w:rsidRPr="009F43A1" w:rsidRDefault="009F43A1" w:rsidP="009F43A1">
      <w:pPr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eastAsia="ru-RU"/>
        </w:rPr>
      </w:pPr>
    </w:p>
    <w:p w:rsidR="009F43A1" w:rsidRPr="009F43A1" w:rsidRDefault="009F43A1" w:rsidP="009F43A1">
      <w:pPr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eastAsia="ru-RU"/>
        </w:rPr>
      </w:pPr>
      <w:r w:rsidRPr="009F43A1">
        <w:rPr>
          <w:rFonts w:ascii="Trebuchet MS" w:eastAsia="Calibri" w:hAnsi="Trebuchet MS" w:cs="Times New Roman"/>
          <w:sz w:val="18"/>
          <w:szCs w:val="18"/>
          <w:lang w:eastAsia="ru-RU"/>
        </w:rPr>
        <w:t xml:space="preserve">* Якщо постачання електричної енергії споживачу здійснюється постачальником універсальних послуг або якщо відповідно до комерційної пропозиції </w:t>
      </w:r>
      <w:proofErr w:type="spellStart"/>
      <w:r w:rsidRPr="009F43A1">
        <w:rPr>
          <w:rFonts w:ascii="Trebuchet MS" w:eastAsia="Calibri" w:hAnsi="Trebuchet MS" w:cs="Times New Roman"/>
          <w:sz w:val="18"/>
          <w:szCs w:val="18"/>
          <w:lang w:eastAsia="ru-RU"/>
        </w:rPr>
        <w:t>електропостачальника</w:t>
      </w:r>
      <w:proofErr w:type="spellEnd"/>
      <w:r w:rsidRPr="009F43A1">
        <w:rPr>
          <w:rFonts w:ascii="Trebuchet MS" w:eastAsia="Calibri" w:hAnsi="Trebuchet MS" w:cs="Times New Roman"/>
          <w:sz w:val="18"/>
          <w:szCs w:val="18"/>
          <w:lang w:eastAsia="ru-RU"/>
        </w:rPr>
        <w:t xml:space="preserve"> плату за надання послуг з розподілу (передачі) електричної енергії забезпечує </w:t>
      </w:r>
      <w:proofErr w:type="spellStart"/>
      <w:r w:rsidRPr="009F43A1">
        <w:rPr>
          <w:rFonts w:ascii="Trebuchet MS" w:eastAsia="Calibri" w:hAnsi="Trebuchet MS" w:cs="Times New Roman"/>
          <w:sz w:val="18"/>
          <w:szCs w:val="18"/>
          <w:lang w:eastAsia="ru-RU"/>
        </w:rPr>
        <w:t>електропостачальник</w:t>
      </w:r>
      <w:proofErr w:type="spellEnd"/>
      <w:r w:rsidRPr="009F43A1">
        <w:rPr>
          <w:rFonts w:ascii="Trebuchet MS" w:eastAsia="Calibri" w:hAnsi="Trebuchet MS" w:cs="Times New Roman"/>
          <w:sz w:val="18"/>
          <w:szCs w:val="18"/>
          <w:lang w:eastAsia="ru-RU"/>
        </w:rPr>
        <w:t>. Сума компенсації зазначається за винятком вартості ПДФО і військового збору.</w:t>
      </w:r>
    </w:p>
    <w:sectPr w:rsidR="009F43A1" w:rsidRPr="009F43A1" w:rsidSect="003D0084">
      <w:pgSz w:w="16838" w:h="11906" w:orient="landscape"/>
      <w:pgMar w:top="142" w:right="1134" w:bottom="426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5"/>
    <w:rsid w:val="000B47C6"/>
    <w:rsid w:val="00336695"/>
    <w:rsid w:val="004723E1"/>
    <w:rsid w:val="004D20C4"/>
    <w:rsid w:val="00560014"/>
    <w:rsid w:val="007005AC"/>
    <w:rsid w:val="00880037"/>
    <w:rsid w:val="008C2EE7"/>
    <w:rsid w:val="009F43A1"/>
    <w:rsid w:val="00C46A19"/>
    <w:rsid w:val="00CD4385"/>
    <w:rsid w:val="00D61FCE"/>
    <w:rsid w:val="00D6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58FFB-18D1-450C-B3F9-33F2C20A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544"/>
    <w:rPr>
      <w:rFonts w:ascii="Segoe UI" w:hAnsi="Segoe UI" w:cs="Segoe UI"/>
      <w:sz w:val="18"/>
      <w:szCs w:val="18"/>
    </w:rPr>
  </w:style>
  <w:style w:type="character" w:customStyle="1" w:styleId="st42">
    <w:name w:val="st42"/>
    <w:uiPriority w:val="99"/>
    <w:rsid w:val="000B47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Лісовенко Світлана Віталіївна</dc:creator>
  <cp:keywords/>
  <dc:description/>
  <cp:lastModifiedBy>Лісовенко Світлана Віталіївна</cp:lastModifiedBy>
  <cp:revision>11</cp:revision>
  <cp:lastPrinted>2026-04-01T07:59:00Z</cp:lastPrinted>
  <dcterms:created xsi:type="dcterms:W3CDTF">2026-01-06T09:20:00Z</dcterms:created>
  <dcterms:modified xsi:type="dcterms:W3CDTF">2026-07-02T10:18:00Z</dcterms:modified>
</cp:coreProperties>
</file>